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C9C7F">
      <w:pPr>
        <w:pStyle w:val="14"/>
        <w:outlineLvl w:val="9"/>
        <w:rPr>
          <w:rFonts w:hint="eastAsia"/>
          <w:lang w:val="en-US" w:eastAsia="zh-CN"/>
        </w:rPr>
      </w:pPr>
    </w:p>
    <w:p w14:paraId="4E3C2EAB">
      <w:pPr>
        <w:spacing w:line="360" w:lineRule="auto"/>
        <w:jc w:val="center"/>
        <w:rPr>
          <w:rFonts w:hint="eastAsia" w:ascii="方正小标宋_GBK" w:hAnsi="方正小标宋_GBK" w:eastAsia="方正小标宋_GBK" w:cs="方正小标宋_GBK"/>
          <w:bCs/>
          <w:color w:val="auto"/>
          <w:sz w:val="56"/>
          <w:szCs w:val="56"/>
          <w:highlight w:val="none"/>
        </w:rPr>
      </w:pPr>
      <w:r>
        <w:rPr>
          <w:rFonts w:hint="eastAsia" w:ascii="宋体" w:hAnsi="宋体" w:cs="宋体"/>
          <w:b/>
          <w:bCs w:val="0"/>
          <w:color w:val="auto"/>
          <w:kern w:val="2"/>
          <w:sz w:val="40"/>
          <w:szCs w:val="32"/>
          <w:highlight w:val="none"/>
          <w:u w:val="single"/>
          <w:lang w:val="en-US" w:eastAsia="zh-CN" w:bidi="ar-SA"/>
        </w:rPr>
        <w:t>G234常宁市新河至蒲竹公路工程一期工程改性沥青及沥青混凝土采购</w:t>
      </w:r>
      <w:r>
        <w:rPr>
          <w:rFonts w:hint="eastAsia" w:ascii="方正小标宋_GBK" w:hAnsi="方正小标宋_GBK" w:eastAsia="方正小标宋_GBK" w:cs="方正小标宋_GBK"/>
          <w:bCs/>
          <w:color w:val="auto"/>
          <w:sz w:val="40"/>
          <w:szCs w:val="32"/>
          <w:highlight w:val="none"/>
        </w:rPr>
        <w:t>项目</w:t>
      </w:r>
    </w:p>
    <w:p w14:paraId="7951F3B8">
      <w:pPr>
        <w:pStyle w:val="9"/>
        <w:ind w:firstLine="0" w:firstLineChars="0"/>
        <w:rPr>
          <w:color w:val="auto"/>
          <w:sz w:val="36"/>
          <w:szCs w:val="36"/>
          <w:highlight w:val="none"/>
        </w:rPr>
      </w:pPr>
    </w:p>
    <w:p w14:paraId="3902961A">
      <w:pPr>
        <w:pStyle w:val="6"/>
        <w:spacing w:line="480" w:lineRule="exact"/>
        <w:ind w:left="0" w:leftChars="0"/>
        <w:jc w:val="center"/>
        <w:rPr>
          <w:rFonts w:hint="eastAsia" w:ascii="华文中宋" w:hAnsi="华文中宋" w:eastAsia="华文中宋"/>
          <w:b/>
          <w:color w:val="auto"/>
          <w:sz w:val="48"/>
          <w:szCs w:val="48"/>
          <w:highlight w:val="none"/>
        </w:rPr>
      </w:pPr>
    </w:p>
    <w:p w14:paraId="77C95398">
      <w:pPr>
        <w:pStyle w:val="6"/>
        <w:spacing w:line="480" w:lineRule="exact"/>
        <w:ind w:left="0" w:leftChars="0"/>
        <w:rPr>
          <w:rFonts w:hint="eastAsia" w:ascii="方正小标宋_GBK" w:hAnsi="方正小标宋_GBK" w:eastAsia="方正小标宋_GBK" w:cs="方正小标宋_GBK"/>
          <w:b/>
          <w:color w:val="auto"/>
          <w:sz w:val="48"/>
          <w:szCs w:val="48"/>
          <w:highlight w:val="none"/>
        </w:rPr>
      </w:pPr>
    </w:p>
    <w:p w14:paraId="7843B50C">
      <w:pPr>
        <w:pStyle w:val="7"/>
        <w:rPr>
          <w:color w:val="auto"/>
          <w:highlight w:val="none"/>
        </w:rPr>
      </w:pPr>
    </w:p>
    <w:p w14:paraId="416D3DE4">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比 </w:t>
      </w:r>
    </w:p>
    <w:p w14:paraId="1A3BB462">
      <w:pPr>
        <w:pStyle w:val="9"/>
        <w:ind w:firstLine="964"/>
        <w:rPr>
          <w:rFonts w:hint="eastAsia" w:ascii="方正小标宋_GBK" w:hAnsi="方正小标宋_GBK" w:eastAsia="方正小标宋_GBK" w:cs="方正小标宋_GBK"/>
          <w:b/>
          <w:color w:val="auto"/>
          <w:kern w:val="2"/>
          <w:sz w:val="48"/>
          <w:szCs w:val="48"/>
          <w:highlight w:val="none"/>
        </w:rPr>
      </w:pPr>
    </w:p>
    <w:p w14:paraId="56907E34">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选 </w:t>
      </w:r>
    </w:p>
    <w:p w14:paraId="7A907789">
      <w:pPr>
        <w:pStyle w:val="9"/>
        <w:ind w:firstLine="964"/>
        <w:rPr>
          <w:rFonts w:hint="eastAsia" w:ascii="方正小标宋_GBK" w:hAnsi="方正小标宋_GBK" w:eastAsia="方正小标宋_GBK" w:cs="方正小标宋_GBK"/>
          <w:b/>
          <w:color w:val="auto"/>
          <w:kern w:val="2"/>
          <w:sz w:val="48"/>
          <w:szCs w:val="48"/>
          <w:highlight w:val="none"/>
        </w:rPr>
      </w:pPr>
    </w:p>
    <w:p w14:paraId="28F21E67">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文 </w:t>
      </w:r>
    </w:p>
    <w:p w14:paraId="02E167FE">
      <w:pPr>
        <w:pStyle w:val="9"/>
        <w:ind w:firstLine="964"/>
        <w:rPr>
          <w:rFonts w:hint="eastAsia" w:ascii="方正小标宋_GBK" w:hAnsi="方正小标宋_GBK" w:eastAsia="方正小标宋_GBK" w:cs="方正小标宋_GBK"/>
          <w:b/>
          <w:color w:val="auto"/>
          <w:kern w:val="2"/>
          <w:sz w:val="48"/>
          <w:szCs w:val="48"/>
          <w:highlight w:val="none"/>
        </w:rPr>
      </w:pPr>
    </w:p>
    <w:p w14:paraId="43BF5C16">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件</w:t>
      </w:r>
    </w:p>
    <w:p w14:paraId="3C8B16AA">
      <w:pPr>
        <w:pStyle w:val="6"/>
        <w:spacing w:line="480" w:lineRule="exact"/>
        <w:ind w:left="0" w:leftChars="0"/>
        <w:jc w:val="center"/>
        <w:rPr>
          <w:rFonts w:hint="eastAsia" w:ascii="华文中宋" w:hAnsi="华文中宋" w:eastAsia="华文中宋"/>
          <w:b/>
          <w:color w:val="auto"/>
          <w:sz w:val="52"/>
          <w:szCs w:val="52"/>
          <w:highlight w:val="none"/>
        </w:rPr>
      </w:pPr>
    </w:p>
    <w:p w14:paraId="428DC1D7">
      <w:pPr>
        <w:pStyle w:val="9"/>
        <w:ind w:firstLine="0" w:firstLineChars="0"/>
        <w:rPr>
          <w:color w:val="auto"/>
          <w:highlight w:val="none"/>
        </w:rPr>
      </w:pPr>
    </w:p>
    <w:p w14:paraId="507B36D0">
      <w:pPr>
        <w:pStyle w:val="6"/>
        <w:adjustRightInd w:val="0"/>
        <w:snapToGrid w:val="0"/>
        <w:spacing w:before="156" w:beforeLines="50" w:line="480" w:lineRule="exact"/>
        <w:ind w:left="0" w:leftChars="0"/>
        <w:rPr>
          <w:rFonts w:hint="eastAsia" w:ascii="宋体" w:hAnsi="宋体" w:cs="宋体"/>
          <w:b/>
          <w:color w:val="auto"/>
          <w:sz w:val="40"/>
          <w:szCs w:val="32"/>
          <w:highlight w:val="none"/>
        </w:rPr>
      </w:pPr>
    </w:p>
    <w:p w14:paraId="2F6C42E3">
      <w:pPr>
        <w:pStyle w:val="6"/>
        <w:adjustRightInd w:val="0"/>
        <w:snapToGrid w:val="0"/>
        <w:spacing w:before="156" w:beforeLines="50" w:line="480" w:lineRule="exact"/>
        <w:jc w:val="center"/>
        <w:rPr>
          <w:rFonts w:hint="eastAsia" w:ascii="方正小标宋_GBK" w:hAnsi="方正小标宋_GBK" w:eastAsia="方正小标宋_GBK" w:cs="方正小标宋_GBK"/>
          <w:bCs/>
          <w:color w:val="auto"/>
          <w:sz w:val="24"/>
          <w:szCs w:val="32"/>
          <w:highlight w:val="none"/>
        </w:rPr>
      </w:pPr>
      <w:r>
        <w:rPr>
          <w:rFonts w:hint="eastAsia" w:ascii="方正小标宋_GBK" w:hAnsi="方正小标宋_GBK" w:eastAsia="方正小标宋_GBK" w:cs="方正小标宋_GBK"/>
          <w:bCs/>
          <w:color w:val="auto"/>
          <w:sz w:val="40"/>
          <w:szCs w:val="32"/>
          <w:highlight w:val="none"/>
          <w:u w:val="single"/>
        </w:rPr>
        <w:t xml:space="preserve">  衡阳公路桥梁建设有限 </w:t>
      </w:r>
      <w:r>
        <w:rPr>
          <w:rFonts w:hint="eastAsia" w:ascii="方正小标宋_GBK" w:hAnsi="方正小标宋_GBK" w:eastAsia="方正小标宋_GBK" w:cs="方正小标宋_GBK"/>
          <w:bCs/>
          <w:color w:val="auto"/>
          <w:sz w:val="40"/>
          <w:szCs w:val="32"/>
          <w:highlight w:val="none"/>
        </w:rPr>
        <w:t>公司</w:t>
      </w:r>
    </w:p>
    <w:p w14:paraId="19AD1BE5">
      <w:pPr>
        <w:pStyle w:val="6"/>
        <w:adjustRightInd w:val="0"/>
        <w:snapToGrid w:val="0"/>
        <w:spacing w:line="480" w:lineRule="exact"/>
        <w:ind w:left="0" w:leftChars="0"/>
        <w:jc w:val="center"/>
        <w:rPr>
          <w:rFonts w:hint="eastAsia" w:ascii="方正小标宋_GBK" w:hAnsi="方正小标宋_GBK" w:eastAsia="方正小标宋_GBK" w:cs="方正小标宋_GBK"/>
          <w:bCs/>
          <w:color w:val="auto"/>
          <w:sz w:val="40"/>
          <w:szCs w:val="32"/>
          <w:highlight w:val="none"/>
        </w:rPr>
      </w:pPr>
    </w:p>
    <w:p w14:paraId="7D72FFA0">
      <w:pPr>
        <w:pStyle w:val="6"/>
        <w:adjustRightInd w:val="0"/>
        <w:snapToGrid w:val="0"/>
        <w:spacing w:line="480" w:lineRule="exact"/>
        <w:ind w:left="0" w:leftChars="0"/>
        <w:jc w:val="center"/>
        <w:rPr>
          <w:rFonts w:hint="eastAsia" w:ascii="方正小标宋_GBK" w:hAnsi="方正小标宋_GBK" w:eastAsia="方正小标宋_GBK" w:cs="方正小标宋_GBK"/>
          <w:bCs/>
          <w:color w:val="auto"/>
          <w:sz w:val="40"/>
          <w:szCs w:val="32"/>
          <w:highlight w:val="none"/>
        </w:rPr>
      </w:pPr>
      <w:r>
        <w:rPr>
          <w:rFonts w:hint="eastAsia" w:ascii="方正小标宋_GBK" w:hAnsi="方正小标宋_GBK" w:eastAsia="方正小标宋_GBK" w:cs="方正小标宋_GBK"/>
          <w:bCs/>
          <w:color w:val="auto"/>
          <w:sz w:val="40"/>
          <w:szCs w:val="32"/>
          <w:highlight w:val="none"/>
        </w:rPr>
        <w:t>二〇二</w:t>
      </w:r>
      <w:r>
        <w:rPr>
          <w:rFonts w:hint="eastAsia" w:ascii="方正小标宋_GBK" w:hAnsi="方正小标宋_GBK" w:eastAsia="方正小标宋_GBK" w:cs="方正小标宋_GBK"/>
          <w:bCs/>
          <w:color w:val="auto"/>
          <w:sz w:val="40"/>
          <w:szCs w:val="32"/>
          <w:highlight w:val="none"/>
          <w:lang w:val="en-US" w:eastAsia="zh-CN"/>
        </w:rPr>
        <w:t>六</w:t>
      </w:r>
      <w:r>
        <w:rPr>
          <w:rFonts w:hint="eastAsia" w:ascii="方正小标宋_GBK" w:hAnsi="方正小标宋_GBK" w:eastAsia="方正小标宋_GBK" w:cs="方正小标宋_GBK"/>
          <w:bCs/>
          <w:color w:val="auto"/>
          <w:sz w:val="40"/>
          <w:szCs w:val="32"/>
          <w:highlight w:val="none"/>
        </w:rPr>
        <w:t>年</w:t>
      </w:r>
      <w:r>
        <w:rPr>
          <w:rFonts w:hint="eastAsia" w:ascii="方正小标宋_GBK" w:hAnsi="方正小标宋_GBK" w:eastAsia="方正小标宋_GBK" w:cs="方正小标宋_GBK"/>
          <w:bCs/>
          <w:color w:val="auto"/>
          <w:sz w:val="40"/>
          <w:szCs w:val="32"/>
          <w:highlight w:val="none"/>
          <w:u w:val="single"/>
          <w:lang w:val="en-US" w:eastAsia="zh-CN"/>
        </w:rPr>
        <w:t>八</w:t>
      </w:r>
      <w:r>
        <w:rPr>
          <w:rFonts w:hint="eastAsia" w:ascii="方正小标宋_GBK" w:hAnsi="方正小标宋_GBK" w:eastAsia="方正小标宋_GBK" w:cs="方正小标宋_GBK"/>
          <w:bCs/>
          <w:color w:val="auto"/>
          <w:sz w:val="40"/>
          <w:szCs w:val="32"/>
          <w:highlight w:val="none"/>
        </w:rPr>
        <w:t>月</w:t>
      </w:r>
    </w:p>
    <w:p w14:paraId="6AB5F063">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172C7385">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208AEDB2">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02E233E1">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437FDF7E">
      <w:pPr>
        <w:pStyle w:val="8"/>
        <w:keepNext w:val="0"/>
        <w:keepLines w:val="0"/>
        <w:pageBreakBefore w:val="0"/>
        <w:kinsoku/>
        <w:wordWrap/>
        <w:overflowPunct/>
        <w:topLinePunct w:val="0"/>
        <w:autoSpaceDE/>
        <w:autoSpaceDN/>
        <w:bidi w:val="0"/>
        <w:adjustRightInd w:val="0"/>
        <w:snapToGrid w:val="0"/>
        <w:spacing w:line="480" w:lineRule="exact"/>
        <w:jc w:val="both"/>
        <w:outlineLvl w:val="9"/>
        <w:rPr>
          <w:rFonts w:hint="eastAsia" w:ascii="黑体" w:hAnsi="黑体" w:eastAsia="黑体" w:cs="黑体"/>
          <w:b/>
          <w:color w:val="auto"/>
          <w:spacing w:val="160"/>
          <w:sz w:val="40"/>
          <w:szCs w:val="40"/>
          <w:highlight w:val="none"/>
        </w:rPr>
      </w:pPr>
    </w:p>
    <w:p w14:paraId="4AE5E2E8">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t>目录</w:t>
      </w:r>
    </w:p>
    <w:p w14:paraId="4C71D83E">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outlineLvl w:val="9"/>
        <w:rPr>
          <w:rFonts w:ascii="宋体" w:hAnsi="宋体"/>
          <w:b/>
          <w:bCs/>
          <w:color w:val="auto"/>
          <w:sz w:val="24"/>
          <w:highlight w:val="none"/>
        </w:rPr>
      </w:pPr>
      <w:r>
        <w:rPr>
          <w:rFonts w:hint="eastAsia" w:ascii="宋体" w:hAnsi="宋体"/>
          <w:b/>
          <w:bCs/>
          <w:color w:val="auto"/>
          <w:sz w:val="24"/>
          <w:highlight w:val="none"/>
        </w:rPr>
        <w:t>第一章  比选</w:t>
      </w:r>
      <w:r>
        <w:rPr>
          <w:rFonts w:hint="eastAsia" w:ascii="宋体" w:hAnsi="宋体"/>
          <w:b/>
          <w:bCs/>
          <w:color w:val="auto"/>
          <w:sz w:val="24"/>
          <w:highlight w:val="none"/>
          <w:lang w:val="en-US" w:eastAsia="zh-CN"/>
        </w:rPr>
        <w:t>公告</w:t>
      </w:r>
      <w:r>
        <w:rPr>
          <w:rFonts w:hint="eastAsia" w:ascii="宋体" w:hAnsi="宋体"/>
          <w:color w:val="auto"/>
          <w:spacing w:val="10"/>
          <w:sz w:val="24"/>
          <w:highlight w:val="none"/>
        </w:rPr>
        <w:tab/>
      </w:r>
      <w:r>
        <w:rPr>
          <w:rFonts w:hint="eastAsia" w:ascii="宋体" w:hAnsi="宋体"/>
          <w:b/>
          <w:bCs/>
          <w:color w:val="auto"/>
          <w:sz w:val="24"/>
          <w:highlight w:val="none"/>
        </w:rPr>
        <w:t>1</w:t>
      </w:r>
    </w:p>
    <w:p w14:paraId="0EAE5B65">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eastAsia="宋体"/>
          <w:b/>
          <w:bCs/>
          <w:color w:val="auto"/>
          <w:spacing w:val="10"/>
          <w:sz w:val="24"/>
          <w:highlight w:val="none"/>
          <w:lang w:val="en-US" w:eastAsia="zh-CN"/>
        </w:rPr>
      </w:pPr>
      <w:r>
        <w:rPr>
          <w:rFonts w:hint="eastAsia" w:ascii="宋体" w:hAnsi="宋体"/>
          <w:b/>
          <w:color w:val="auto"/>
          <w:sz w:val="24"/>
          <w:highlight w:val="none"/>
        </w:rPr>
        <w:t xml:space="preserve">第二章  </w:t>
      </w:r>
      <w:r>
        <w:rPr>
          <w:rFonts w:hint="eastAsia" w:ascii="宋体" w:hAnsi="宋体"/>
          <w:b/>
          <w:color w:val="auto"/>
          <w:sz w:val="24"/>
          <w:highlight w:val="none"/>
          <w:lang w:val="en-US" w:eastAsia="zh-CN"/>
        </w:rPr>
        <w:t>参选人须知</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5</w:t>
      </w:r>
    </w:p>
    <w:p w14:paraId="3041CEAD">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 xml:space="preserve">第三章  </w:t>
      </w:r>
      <w:r>
        <w:rPr>
          <w:rFonts w:hint="eastAsia" w:ascii="宋体" w:hAnsi="宋体"/>
          <w:b/>
          <w:bCs/>
          <w:color w:val="auto"/>
          <w:sz w:val="24"/>
          <w:highlight w:val="none"/>
          <w:lang w:val="en-US" w:eastAsia="zh-CN"/>
        </w:rPr>
        <w:t>参选文件要求</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12</w:t>
      </w:r>
    </w:p>
    <w:p w14:paraId="21A43166">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四</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评标办法</w:t>
      </w:r>
      <w:r>
        <w:rPr>
          <w:rFonts w:hint="eastAsia" w:ascii="宋体" w:hAnsi="宋体"/>
          <w:color w:val="auto"/>
          <w:spacing w:val="10"/>
          <w:sz w:val="24"/>
          <w:highlight w:val="none"/>
        </w:rPr>
        <w:tab/>
      </w:r>
      <w:r>
        <w:rPr>
          <w:rFonts w:hint="eastAsia" w:ascii="宋体" w:hAnsi="宋体" w:eastAsia="宋体"/>
          <w:b/>
          <w:bCs/>
          <w:color w:val="auto"/>
          <w:spacing w:val="10"/>
          <w:sz w:val="24"/>
          <w:highlight w:val="none"/>
          <w:lang w:val="en-US" w:eastAsia="zh-CN"/>
        </w:rPr>
        <w:t>25</w:t>
      </w:r>
    </w:p>
    <w:p w14:paraId="525590BA">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eastAsia="宋体"/>
          <w:b/>
          <w:bCs/>
          <w:color w:val="auto"/>
          <w:sz w:val="24"/>
          <w:highlight w:val="none"/>
          <w:lang w:eastAsia="zh-CN"/>
        </w:rPr>
        <w:t>五</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合同条款</w:t>
      </w:r>
      <w:r>
        <w:rPr>
          <w:rFonts w:hint="eastAsia" w:ascii="宋体" w:hAnsi="宋体"/>
          <w:color w:val="auto"/>
          <w:spacing w:val="10"/>
          <w:sz w:val="24"/>
          <w:highlight w:val="none"/>
        </w:rPr>
        <w:tab/>
      </w:r>
      <w:r>
        <w:rPr>
          <w:rFonts w:hint="eastAsia" w:ascii="宋体" w:hAnsi="宋体" w:eastAsia="宋体"/>
          <w:b/>
          <w:bCs/>
          <w:color w:val="auto"/>
          <w:spacing w:val="10"/>
          <w:sz w:val="24"/>
          <w:highlight w:val="none"/>
          <w:lang w:val="en-US" w:eastAsia="zh-CN"/>
        </w:rPr>
        <w:t>26</w:t>
      </w:r>
    </w:p>
    <w:p w14:paraId="5ADF55B1">
      <w:pPr>
        <w:pStyle w:val="20"/>
        <w:rPr>
          <w:rFonts w:hint="eastAsia"/>
          <w:color w:val="auto"/>
          <w:highlight w:val="none"/>
          <w:lang w:val="en-US" w:eastAsia="zh-CN"/>
        </w:rPr>
      </w:pPr>
    </w:p>
    <w:p w14:paraId="004DC2F8">
      <w:pPr>
        <w:pStyle w:val="20"/>
        <w:rPr>
          <w:rFonts w:hint="default"/>
          <w:color w:val="auto"/>
          <w:highlight w:val="none"/>
          <w:lang w:val="en-US" w:eastAsia="zh-CN"/>
        </w:rPr>
      </w:pPr>
    </w:p>
    <w:p w14:paraId="48E4016A">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p>
    <w:p w14:paraId="5FDB2AE5">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p>
    <w:p w14:paraId="73AB6CD6">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02A816B3">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51F64DD7">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685820A9">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0F1B4E26">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73597A18">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44DDC72D">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2B8642E8">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36A6FFDE">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18638B49">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389DD802">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208BB704">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4FEB4B56">
      <w:pPr>
        <w:keepNext w:val="0"/>
        <w:keepLines w:val="0"/>
        <w:pageBreakBefore w:val="0"/>
        <w:kinsoku/>
        <w:wordWrap/>
        <w:overflowPunct/>
        <w:topLinePunct w:val="0"/>
        <w:autoSpaceDE/>
        <w:autoSpaceDN/>
        <w:bidi w:val="0"/>
        <w:spacing w:line="480" w:lineRule="exact"/>
        <w:outlineLvl w:val="9"/>
        <w:rPr>
          <w:color w:val="auto"/>
          <w:highlight w:val="none"/>
        </w:rPr>
      </w:pPr>
    </w:p>
    <w:p w14:paraId="08D62D6B">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55024E0B">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423FAE75">
      <w:pPr>
        <w:keepNext w:val="0"/>
        <w:keepLines w:val="0"/>
        <w:pageBreakBefore w:val="0"/>
        <w:kinsoku/>
        <w:wordWrap/>
        <w:overflowPunct/>
        <w:topLinePunct w:val="0"/>
        <w:autoSpaceDE/>
        <w:autoSpaceDN/>
        <w:bidi w:val="0"/>
        <w:adjustRightInd w:val="0"/>
        <w:snapToGrid w:val="0"/>
        <w:spacing w:line="480" w:lineRule="exact"/>
        <w:jc w:val="both"/>
        <w:outlineLvl w:val="9"/>
        <w:rPr>
          <w:rFonts w:hint="eastAsia" w:ascii="黑体" w:hAnsi="黑体" w:eastAsia="黑体" w:cs="黑体"/>
          <w:b/>
          <w:bCs/>
          <w:color w:val="auto"/>
          <w:sz w:val="36"/>
          <w:szCs w:val="36"/>
          <w:highlight w:val="none"/>
          <w:shd w:val="clear" w:color="auto" w:fill="FFFFFF"/>
        </w:rPr>
        <w:sectPr>
          <w:headerReference r:id="rId5" w:type="default"/>
          <w:footerReference r:id="rId6" w:type="default"/>
          <w:pgSz w:w="11900" w:h="16820"/>
          <w:pgMar w:top="1429" w:right="1695" w:bottom="1029" w:left="1574" w:header="0" w:footer="849" w:gutter="0"/>
          <w:pgNumType w:fmt="decimal" w:start="1"/>
          <w:cols w:space="720" w:num="1"/>
        </w:sectPr>
      </w:pPr>
    </w:p>
    <w:p w14:paraId="16CAD018">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2640" w:firstLineChars="600"/>
        <w:jc w:val="both"/>
        <w:outlineLvl w:val="1"/>
        <w:rPr>
          <w:rStyle w:val="18"/>
          <w:rFonts w:hint="eastAsia" w:ascii="黑体" w:hAnsi="黑体" w:eastAsia="黑体" w:cs="黑体"/>
          <w:color w:val="auto"/>
          <w:sz w:val="32"/>
          <w:szCs w:val="32"/>
          <w:highlight w:val="none"/>
          <w:shd w:val="clear" w:color="auto" w:fill="FFFFFF"/>
          <w:lang w:val="en-US" w:eastAsia="zh-CN"/>
        </w:rPr>
      </w:pPr>
      <w:r>
        <w:rPr>
          <w:rFonts w:hint="eastAsia" w:ascii="Calibri" w:hAnsi="Calibri" w:eastAsia="方正小标宋简体" w:cs="Times New Roman"/>
          <w:bCs/>
          <w:color w:val="auto"/>
          <w:kern w:val="44"/>
          <w:sz w:val="44"/>
          <w:szCs w:val="44"/>
          <w:highlight w:val="none"/>
          <w:lang w:val="en-US" w:eastAsia="zh-CN" w:bidi="ar-SA"/>
        </w:rPr>
        <w:t>第一章  比选公告</w:t>
      </w:r>
    </w:p>
    <w:p w14:paraId="621144C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一、项目概况</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1.招标项目：</w:t>
      </w:r>
      <w:r>
        <w:rPr>
          <w:rFonts w:hint="eastAsia" w:ascii="宋体" w:hAnsi="宋体" w:cs="宋体"/>
          <w:color w:val="auto"/>
          <w:kern w:val="2"/>
          <w:sz w:val="28"/>
          <w:szCs w:val="28"/>
          <w:highlight w:val="none"/>
          <w:u w:val="none"/>
          <w:lang w:val="en-US" w:eastAsia="zh-CN" w:bidi="ar-SA"/>
        </w:rPr>
        <w:t>G234常宁市新河至蒲竹公路工程一期工程项目改性沥青及沥青混凝土采购</w:t>
      </w:r>
      <w:r>
        <w:rPr>
          <w:rFonts w:hint="eastAsia" w:ascii="宋体" w:hAnsi="宋体" w:eastAsia="宋体" w:cs="宋体"/>
          <w:color w:val="auto"/>
          <w:kern w:val="2"/>
          <w:sz w:val="28"/>
          <w:szCs w:val="28"/>
          <w:highlight w:val="none"/>
          <w:u w:val="none"/>
          <w:lang w:val="en-US" w:eastAsia="zh-CN" w:bidi="ar-SA"/>
        </w:rPr>
        <w:t>。</w:t>
      </w:r>
    </w:p>
    <w:p w14:paraId="07F5DCB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2.项目地点：常宁市</w:t>
      </w:r>
      <w:r>
        <w:rPr>
          <w:rFonts w:hint="eastAsia" w:ascii="宋体" w:hAnsi="宋体" w:cs="宋体"/>
          <w:color w:val="auto"/>
          <w:kern w:val="2"/>
          <w:sz w:val="28"/>
          <w:szCs w:val="28"/>
          <w:highlight w:val="none"/>
          <w:u w:val="none"/>
          <w:lang w:val="en-US" w:eastAsia="zh-CN" w:bidi="ar-SA"/>
        </w:rPr>
        <w:t>洋泉</w:t>
      </w:r>
      <w:r>
        <w:rPr>
          <w:rFonts w:hint="eastAsia" w:ascii="宋体" w:hAnsi="宋体" w:eastAsia="宋体" w:cs="宋体"/>
          <w:color w:val="auto"/>
          <w:kern w:val="2"/>
          <w:sz w:val="28"/>
          <w:szCs w:val="28"/>
          <w:highlight w:val="none"/>
          <w:u w:val="none"/>
          <w:lang w:val="en-US" w:eastAsia="zh-CN" w:bidi="ar-SA"/>
        </w:rPr>
        <w:t>镇。</w:t>
      </w:r>
    </w:p>
    <w:p w14:paraId="4045837F">
      <w:pPr>
        <w:adjustRightInd w:val="0"/>
        <w:snapToGrid w:val="0"/>
        <w:spacing w:line="560" w:lineRule="exact"/>
        <w:ind w:firstLine="560" w:firstLineChars="200"/>
        <w:jc w:val="left"/>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3.计划施工</w:t>
      </w:r>
      <w:r>
        <w:rPr>
          <w:rFonts w:hint="eastAsia" w:ascii="宋体" w:hAnsi="宋体" w:eastAsia="宋体" w:cs="宋体"/>
          <w:color w:val="auto"/>
          <w:kern w:val="2"/>
          <w:sz w:val="28"/>
          <w:szCs w:val="28"/>
          <w:highlight w:val="none"/>
          <w:u w:val="none"/>
          <w:lang w:eastAsia="zh-CN" w:bidi="ar-SA"/>
        </w:rPr>
        <w:t>或</w:t>
      </w:r>
      <w:r>
        <w:rPr>
          <w:rFonts w:hint="eastAsia" w:ascii="宋体" w:hAnsi="宋体" w:eastAsia="宋体" w:cs="宋体"/>
          <w:color w:val="auto"/>
          <w:kern w:val="2"/>
          <w:sz w:val="28"/>
          <w:szCs w:val="28"/>
          <w:highlight w:val="none"/>
          <w:u w:val="none"/>
          <w:lang w:val="en-US" w:eastAsia="zh-CN" w:bidi="ar-SA"/>
        </w:rPr>
        <w:t>服务时间：202</w:t>
      </w:r>
      <w:r>
        <w:rPr>
          <w:rFonts w:hint="eastAsia" w:ascii="宋体" w:hAnsi="宋体" w:cs="宋体"/>
          <w:color w:val="auto"/>
          <w:kern w:val="2"/>
          <w:sz w:val="28"/>
          <w:szCs w:val="28"/>
          <w:highlight w:val="none"/>
          <w:u w:val="none"/>
          <w:lang w:val="en-US" w:eastAsia="zh-CN" w:bidi="ar-SA"/>
        </w:rPr>
        <w:t>6</w:t>
      </w:r>
      <w:r>
        <w:rPr>
          <w:rFonts w:hint="eastAsia" w:ascii="宋体" w:hAnsi="宋体" w:eastAsia="宋体" w:cs="宋体"/>
          <w:color w:val="auto"/>
          <w:kern w:val="2"/>
          <w:sz w:val="28"/>
          <w:szCs w:val="28"/>
          <w:highlight w:val="none"/>
          <w:u w:val="none"/>
          <w:lang w:val="en-US" w:eastAsia="zh-CN" w:bidi="ar-SA"/>
        </w:rPr>
        <w:t>年</w:t>
      </w:r>
      <w:r>
        <w:rPr>
          <w:rFonts w:hint="eastAsia" w:ascii="宋体" w:hAnsi="宋体" w:cs="宋体"/>
          <w:color w:val="auto"/>
          <w:kern w:val="2"/>
          <w:sz w:val="28"/>
          <w:szCs w:val="28"/>
          <w:highlight w:val="none"/>
          <w:u w:val="none"/>
          <w:lang w:val="en-US" w:eastAsia="zh-CN" w:bidi="ar-SA"/>
        </w:rPr>
        <w:t>8</w:t>
      </w:r>
      <w:r>
        <w:rPr>
          <w:rFonts w:hint="eastAsia" w:ascii="宋体" w:hAnsi="宋体" w:eastAsia="宋体" w:cs="宋体"/>
          <w:color w:val="auto"/>
          <w:kern w:val="2"/>
          <w:sz w:val="28"/>
          <w:szCs w:val="28"/>
          <w:highlight w:val="none"/>
          <w:u w:val="none"/>
          <w:lang w:val="en-US" w:eastAsia="zh-CN" w:bidi="ar-SA"/>
        </w:rPr>
        <w:t>月30日</w:t>
      </w:r>
    </w:p>
    <w:p w14:paraId="3EB21BCF">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4.招标人</w:t>
      </w:r>
      <w:r>
        <w:rPr>
          <w:rFonts w:hint="eastAsia" w:ascii="宋体" w:hAnsi="宋体" w:cs="宋体"/>
          <w:color w:val="auto"/>
          <w:kern w:val="2"/>
          <w:sz w:val="28"/>
          <w:szCs w:val="28"/>
          <w:highlight w:val="none"/>
          <w:u w:val="none"/>
          <w:lang w:val="en-US" w:eastAsia="zh-CN" w:bidi="ar-SA"/>
        </w:rPr>
        <w:t>：</w:t>
      </w:r>
      <w:bookmarkStart w:id="0" w:name="OLE_LINK4"/>
      <w:bookmarkStart w:id="1" w:name="OLE_LINK5"/>
      <w:r>
        <w:rPr>
          <w:rFonts w:hint="eastAsia" w:asciiTheme="minorEastAsia" w:hAnsiTheme="minorEastAsia" w:cstheme="minorEastAsia"/>
          <w:color w:val="auto"/>
          <w:sz w:val="28"/>
          <w:szCs w:val="28"/>
          <w:highlight w:val="none"/>
        </w:rPr>
        <w:t>衡阳公路桥梁建设有限公司</w:t>
      </w:r>
      <w:bookmarkEnd w:id="0"/>
      <w:bookmarkEnd w:id="1"/>
    </w:p>
    <w:p w14:paraId="0541F654">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二、招标内容和范围包括</w:t>
      </w:r>
    </w:p>
    <w:p w14:paraId="16551BE8">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1.招标内容：</w:t>
      </w:r>
      <w:r>
        <w:rPr>
          <w:rFonts w:hint="eastAsia" w:ascii="宋体" w:hAnsi="宋体" w:cs="宋体"/>
          <w:color w:val="auto"/>
          <w:kern w:val="2"/>
          <w:sz w:val="28"/>
          <w:szCs w:val="28"/>
          <w:highlight w:val="none"/>
          <w:u w:val="none"/>
          <w:lang w:val="en-US" w:eastAsia="zh-CN" w:bidi="ar-SA"/>
        </w:rPr>
        <w:t>G234常宁市新河至蒲竹公路工程一期工程项目改性沥青及沥青混凝土采购</w:t>
      </w:r>
      <w:r>
        <w:rPr>
          <w:rFonts w:hint="eastAsia" w:ascii="宋体" w:hAnsi="宋体" w:eastAsia="宋体" w:cs="宋体"/>
          <w:color w:val="auto"/>
          <w:kern w:val="2"/>
          <w:sz w:val="28"/>
          <w:szCs w:val="28"/>
          <w:highlight w:val="none"/>
          <w:u w:val="none"/>
          <w:lang w:val="en-US" w:eastAsia="zh-CN" w:bidi="ar-SA"/>
        </w:rPr>
        <w:t>。内容简介：</w:t>
      </w:r>
      <w:r>
        <w:rPr>
          <w:rFonts w:hint="eastAsia" w:ascii="宋体" w:hAnsi="宋体" w:cs="宋体"/>
          <w:color w:val="auto"/>
          <w:kern w:val="2"/>
          <w:sz w:val="28"/>
          <w:szCs w:val="28"/>
          <w:highlight w:val="none"/>
          <w:u w:val="none"/>
          <w:lang w:val="en-US" w:eastAsia="zh-CN" w:bidi="ar-SA"/>
        </w:rPr>
        <w:t>改性沥青及沥青混凝土采购</w:t>
      </w:r>
      <w:r>
        <w:rPr>
          <w:rFonts w:hint="eastAsia" w:ascii="宋体" w:hAnsi="宋体" w:cs="宋体"/>
          <w:color w:val="auto"/>
          <w:w w:val="99"/>
          <w:sz w:val="28"/>
          <w:szCs w:val="28"/>
          <w:highlight w:val="none"/>
        </w:rPr>
        <w:t>。</w:t>
      </w:r>
    </w:p>
    <w:p w14:paraId="6A6D91E7">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2.范围及桩号：</w:t>
      </w:r>
      <w:r>
        <w:rPr>
          <w:rFonts w:hint="eastAsia" w:ascii="宋体" w:hAnsi="宋体" w:cs="宋体"/>
          <w:color w:val="auto"/>
          <w:kern w:val="2"/>
          <w:sz w:val="28"/>
          <w:szCs w:val="28"/>
          <w:highlight w:val="none"/>
          <w:u w:val="none"/>
          <w:lang w:val="en-US" w:eastAsia="zh-CN" w:bidi="ar-SA"/>
        </w:rPr>
        <w:t>K10+940-K16+300</w:t>
      </w:r>
    </w:p>
    <w:p w14:paraId="4434BB9C">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3.主要工程量：</w:t>
      </w:r>
      <w:r>
        <w:rPr>
          <w:rFonts w:hint="eastAsia" w:ascii="宋体" w:hAnsi="宋体" w:cs="宋体"/>
          <w:color w:val="auto"/>
          <w:sz w:val="28"/>
          <w:szCs w:val="28"/>
          <w:highlight w:val="none"/>
        </w:rPr>
        <w:t>（详见工程量清单）</w:t>
      </w:r>
    </w:p>
    <w:p w14:paraId="1DEBFD9A">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4.增值税税金的计算方法：</w:t>
      </w:r>
      <w:r>
        <w:rPr>
          <w:rFonts w:hint="eastAsia" w:ascii="宋体" w:hAnsi="宋体" w:cs="宋体"/>
          <w:color w:val="auto"/>
          <w:sz w:val="28"/>
          <w:szCs w:val="28"/>
          <w:highlight w:val="none"/>
          <w:lang w:eastAsia="zh-CN"/>
        </w:rPr>
        <w:sym w:font="Wingdings 2" w:char="00A3"/>
      </w:r>
      <w:r>
        <w:rPr>
          <w:rFonts w:hint="eastAsia" w:ascii="宋体" w:hAnsi="宋体" w:cs="宋体"/>
          <w:color w:val="auto"/>
          <w:sz w:val="28"/>
          <w:szCs w:val="28"/>
          <w:highlight w:val="none"/>
        </w:rPr>
        <w:t>一般计税方法</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简易计税方法</w:t>
      </w:r>
    </w:p>
    <w:p w14:paraId="642F1D2B">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三、控制价</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本项目最高投标限价为</w:t>
      </w:r>
      <w:r>
        <w:rPr>
          <w:rFonts w:hint="eastAsia" w:ascii="宋体" w:hAnsi="宋体" w:cs="宋体"/>
          <w:color w:val="auto"/>
          <w:sz w:val="28"/>
          <w:szCs w:val="28"/>
          <w:highlight w:val="none"/>
          <w:lang w:val="en-US" w:eastAsia="zh-CN"/>
        </w:rPr>
        <w:t>4467600</w:t>
      </w:r>
      <w:r>
        <w:rPr>
          <w:rFonts w:hint="eastAsia" w:ascii="宋体" w:hAnsi="宋体" w:cs="宋体"/>
          <w:color w:val="auto"/>
          <w:sz w:val="28"/>
          <w:szCs w:val="28"/>
          <w:highlight w:val="none"/>
        </w:rPr>
        <w:t>元</w:t>
      </w:r>
      <w:r>
        <w:rPr>
          <w:rFonts w:hint="eastAsia" w:ascii="宋体" w:hAnsi="宋体" w:eastAsia="宋体" w:cs="宋体"/>
          <w:color w:val="auto"/>
          <w:kern w:val="2"/>
          <w:sz w:val="28"/>
          <w:szCs w:val="28"/>
          <w:highlight w:val="none"/>
          <w:u w:val="none"/>
          <w:lang w:val="en-US" w:eastAsia="zh-CN" w:bidi="ar-SA"/>
        </w:rPr>
        <w:t>。</w:t>
      </w:r>
    </w:p>
    <w:p w14:paraId="44F0C4F1">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default"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一般计税项目须明确不含税价，简易计税中不能抵扣的工程须明确含税价。</w:t>
      </w:r>
    </w:p>
    <w:p w14:paraId="771ABD9C">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四、参选人资格要求</w:t>
      </w:r>
    </w:p>
    <w:p w14:paraId="0DBE5314">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1.参选人具有独立法人资格并依法取得营业执照</w:t>
      </w:r>
      <w:bookmarkStart w:id="18" w:name="_GoBack"/>
      <w:bookmarkEnd w:id="18"/>
      <w:r>
        <w:rPr>
          <w:rFonts w:hint="eastAsia" w:ascii="宋体" w:hAnsi="宋体" w:eastAsia="宋体" w:cs="宋体"/>
          <w:color w:val="auto"/>
          <w:kern w:val="2"/>
          <w:sz w:val="28"/>
          <w:szCs w:val="28"/>
          <w:highlight w:val="none"/>
          <w:u w:val="none"/>
          <w:lang w:val="en-US" w:eastAsia="zh-CN" w:bidi="ar-SA"/>
        </w:rPr>
        <w:t>并在有效期限内；</w:t>
      </w:r>
    </w:p>
    <w:p w14:paraId="7CFF217A">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2.</w:t>
      </w:r>
      <w:r>
        <w:rPr>
          <w:rFonts w:hint="eastAsia" w:ascii="宋体" w:hAnsi="宋体" w:cs="宋体"/>
          <w:color w:val="auto"/>
          <w:sz w:val="28"/>
          <w:szCs w:val="28"/>
          <w:highlight w:val="none"/>
        </w:rPr>
        <w:t>具有独立法人资格及较强的技术力量、经济实力，并在人员、设备等方面具有承担本次招标工作</w:t>
      </w:r>
      <w:r>
        <w:rPr>
          <w:rFonts w:hint="eastAsia" w:ascii="宋体" w:hAnsi="宋体" w:cs="宋体"/>
          <w:color w:val="auto"/>
          <w:sz w:val="28"/>
          <w:szCs w:val="28"/>
          <w:highlight w:val="none"/>
          <w:lang w:val="en-US" w:eastAsia="zh-CN"/>
        </w:rPr>
        <w:t>材料销售或加工的能力</w:t>
      </w:r>
      <w:r>
        <w:rPr>
          <w:rFonts w:hint="eastAsia" w:ascii="宋体" w:hAnsi="宋体" w:cs="宋体"/>
          <w:color w:val="auto"/>
          <w:sz w:val="28"/>
          <w:szCs w:val="28"/>
          <w:highlight w:val="none"/>
        </w:rPr>
        <w:t>；</w:t>
      </w:r>
    </w:p>
    <w:p w14:paraId="4A2B7797">
      <w:pPr>
        <w:adjustRightInd w:val="0"/>
        <w:snapToGrid w:val="0"/>
        <w:spacing w:line="560" w:lineRule="exact"/>
        <w:ind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sym w:font="Wingdings 2" w:char="00A3"/>
      </w:r>
      <w:r>
        <w:rPr>
          <w:rFonts w:hint="eastAsia" w:ascii="宋体" w:hAnsi="宋体" w:cs="宋体"/>
          <w:color w:val="auto"/>
          <w:sz w:val="28"/>
          <w:szCs w:val="28"/>
          <w:highlight w:val="none"/>
        </w:rPr>
        <w:t>不提供</w:t>
      </w:r>
    </w:p>
    <w:p w14:paraId="7FB0E79D">
      <w:pPr>
        <w:adjustRightInd w:val="0"/>
        <w:snapToGrid w:val="0"/>
        <w:spacing w:line="560" w:lineRule="exact"/>
        <w:ind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sym w:font="Wingdings 2" w:char="0052"/>
      </w:r>
      <w:r>
        <w:rPr>
          <w:rFonts w:hint="eastAsia" w:ascii="宋体" w:hAnsi="宋体" w:cs="宋体"/>
          <w:color w:val="auto"/>
          <w:sz w:val="28"/>
          <w:szCs w:val="28"/>
          <w:highlight w:val="none"/>
        </w:rPr>
        <w:t>提供:</w:t>
      </w:r>
      <w:r>
        <w:rPr>
          <w:rFonts w:hint="eastAsia" w:ascii="宋体" w:hAnsi="宋体" w:cs="宋体"/>
          <w:color w:val="auto"/>
          <w:sz w:val="28"/>
          <w:szCs w:val="28"/>
          <w:highlight w:val="none"/>
          <w:lang w:eastAsia="zh-CN"/>
        </w:rPr>
        <w:t xml:space="preserve">（ </w:t>
      </w:r>
      <w:r>
        <w:rPr>
          <w:rFonts w:hint="eastAsia" w:ascii="宋体" w:hAnsi="宋体" w:cs="宋体"/>
          <w:color w:val="auto"/>
          <w:sz w:val="28"/>
          <w:szCs w:val="28"/>
          <w:highlight w:val="none"/>
          <w:u w:val="single"/>
          <w:lang w:eastAsia="zh-CN"/>
        </w:rPr>
        <w:t>202</w:t>
      </w:r>
      <w:r>
        <w:rPr>
          <w:rFonts w:hint="eastAsia" w:ascii="宋体" w:hAnsi="宋体" w:cs="宋体"/>
          <w:color w:val="auto"/>
          <w:sz w:val="28"/>
          <w:szCs w:val="28"/>
          <w:highlight w:val="none"/>
          <w:u w:val="single"/>
          <w:lang w:val="en-US" w:eastAsia="zh-CN"/>
        </w:rPr>
        <w:t>1</w:t>
      </w:r>
      <w:r>
        <w:rPr>
          <w:rFonts w:hint="eastAsia" w:ascii="宋体" w:hAnsi="宋体" w:cs="宋体"/>
          <w:color w:val="auto"/>
          <w:sz w:val="28"/>
          <w:szCs w:val="28"/>
          <w:highlight w:val="none"/>
          <w:lang w:eastAsia="zh-CN"/>
        </w:rPr>
        <w:t xml:space="preserve"> 年 </w:t>
      </w:r>
      <w:r>
        <w:rPr>
          <w:rFonts w:hint="eastAsia" w:ascii="宋体" w:hAnsi="宋体" w:cs="宋体"/>
          <w:color w:val="auto"/>
          <w:sz w:val="28"/>
          <w:szCs w:val="28"/>
          <w:highlight w:val="none"/>
          <w:u w:val="single"/>
          <w:lang w:val="en-US" w:eastAsia="zh-CN"/>
        </w:rPr>
        <w:t>8</w:t>
      </w:r>
      <w:r>
        <w:rPr>
          <w:rFonts w:hint="eastAsia" w:ascii="宋体" w:hAnsi="宋体" w:cs="宋体"/>
          <w:color w:val="auto"/>
          <w:sz w:val="28"/>
          <w:szCs w:val="28"/>
          <w:highlight w:val="none"/>
          <w:lang w:eastAsia="zh-CN"/>
        </w:rPr>
        <w:t xml:space="preserve"> 月至 </w:t>
      </w:r>
      <w:r>
        <w:rPr>
          <w:rFonts w:hint="eastAsia" w:ascii="宋体" w:hAnsi="宋体" w:cs="宋体"/>
          <w:color w:val="auto"/>
          <w:sz w:val="28"/>
          <w:szCs w:val="28"/>
          <w:highlight w:val="none"/>
          <w:u w:val="single"/>
          <w:lang w:eastAsia="zh-CN"/>
        </w:rPr>
        <w:t>202</w:t>
      </w:r>
      <w:r>
        <w:rPr>
          <w:rFonts w:hint="eastAsia" w:ascii="宋体" w:hAnsi="宋体" w:cs="宋体"/>
          <w:color w:val="auto"/>
          <w:sz w:val="28"/>
          <w:szCs w:val="28"/>
          <w:highlight w:val="none"/>
          <w:u w:val="single"/>
          <w:lang w:val="en-US" w:eastAsia="zh-CN"/>
        </w:rPr>
        <w:t>6</w:t>
      </w:r>
      <w:r>
        <w:rPr>
          <w:rFonts w:hint="eastAsia" w:ascii="宋体" w:hAnsi="宋体" w:cs="宋体"/>
          <w:color w:val="auto"/>
          <w:sz w:val="28"/>
          <w:szCs w:val="28"/>
          <w:highlight w:val="none"/>
          <w:lang w:eastAsia="zh-CN"/>
        </w:rPr>
        <w:t xml:space="preserve"> 年 </w:t>
      </w:r>
      <w:r>
        <w:rPr>
          <w:rFonts w:hint="eastAsia" w:ascii="宋体" w:hAnsi="宋体" w:cs="宋体"/>
          <w:color w:val="auto"/>
          <w:sz w:val="28"/>
          <w:szCs w:val="28"/>
          <w:highlight w:val="none"/>
          <w:u w:val="single"/>
          <w:lang w:val="en-US" w:eastAsia="zh-CN"/>
        </w:rPr>
        <w:t>8</w:t>
      </w:r>
      <w:r>
        <w:rPr>
          <w:rFonts w:hint="eastAsia" w:ascii="宋体" w:hAnsi="宋体" w:cs="宋体"/>
          <w:color w:val="auto"/>
          <w:sz w:val="28"/>
          <w:szCs w:val="28"/>
          <w:highlight w:val="none"/>
          <w:lang w:eastAsia="zh-CN"/>
        </w:rPr>
        <w:t xml:space="preserve"> 月）不少于 </w:t>
      </w:r>
      <w:r>
        <w:rPr>
          <w:rFonts w:hint="eastAsia" w:ascii="宋体" w:hAnsi="宋体" w:cs="宋体"/>
          <w:color w:val="auto"/>
          <w:sz w:val="28"/>
          <w:szCs w:val="28"/>
          <w:highlight w:val="none"/>
          <w:u w:val="single"/>
          <w:lang w:eastAsia="zh-CN"/>
        </w:rPr>
        <w:t>1</w:t>
      </w:r>
      <w:r>
        <w:rPr>
          <w:rFonts w:hint="eastAsia" w:ascii="宋体" w:hAnsi="宋体" w:cs="宋体"/>
          <w:color w:val="auto"/>
          <w:sz w:val="28"/>
          <w:szCs w:val="28"/>
          <w:highlight w:val="none"/>
          <w:lang w:eastAsia="zh-CN"/>
        </w:rPr>
        <w:t xml:space="preserve">  个（1至3个） </w:t>
      </w:r>
      <w:r>
        <w:rPr>
          <w:rFonts w:hint="eastAsia" w:ascii="宋体" w:hAnsi="宋体" w:cs="宋体"/>
          <w:color w:val="auto"/>
          <w:sz w:val="28"/>
          <w:szCs w:val="28"/>
          <w:highlight w:val="none"/>
          <w:u w:val="single"/>
          <w:lang w:eastAsia="zh-CN"/>
        </w:rPr>
        <w:t xml:space="preserve"> </w:t>
      </w:r>
      <w:r>
        <w:rPr>
          <w:rFonts w:hint="eastAsia" w:ascii="宋体" w:hAnsi="宋体" w:cs="宋体"/>
          <w:color w:val="auto"/>
          <w:sz w:val="28"/>
          <w:szCs w:val="28"/>
          <w:highlight w:val="none"/>
          <w:u w:val="single"/>
          <w:lang w:val="en-US" w:eastAsia="zh-CN"/>
        </w:rPr>
        <w:t>2</w:t>
      </w:r>
      <w:r>
        <w:rPr>
          <w:rFonts w:hint="eastAsia" w:ascii="宋体" w:hAnsi="宋体" w:cs="宋体"/>
          <w:color w:val="auto"/>
          <w:sz w:val="28"/>
          <w:szCs w:val="28"/>
          <w:highlight w:val="none"/>
          <w:u w:val="single"/>
          <w:lang w:eastAsia="zh-CN"/>
        </w:rPr>
        <w:t>00万</w:t>
      </w:r>
      <w:r>
        <w:rPr>
          <w:rFonts w:hint="eastAsia" w:ascii="宋体" w:hAnsi="宋体" w:cs="宋体"/>
          <w:color w:val="auto"/>
          <w:sz w:val="28"/>
          <w:szCs w:val="28"/>
          <w:highlight w:val="none"/>
          <w:lang w:eastAsia="zh-CN"/>
        </w:rPr>
        <w:t xml:space="preserve">  </w:t>
      </w:r>
      <w:r>
        <w:rPr>
          <w:rFonts w:hint="eastAsia" w:ascii="宋体" w:hAnsi="宋体" w:cs="宋体"/>
          <w:color w:val="auto"/>
          <w:spacing w:val="15"/>
          <w:kern w:val="0"/>
          <w:sz w:val="28"/>
          <w:szCs w:val="28"/>
          <w:highlight w:val="none"/>
        </w:rPr>
        <w:t>的</w:t>
      </w:r>
      <w:r>
        <w:rPr>
          <w:rFonts w:hint="eastAsia" w:ascii="宋体" w:hAnsi="宋体" w:cs="宋体"/>
          <w:color w:val="auto"/>
          <w:sz w:val="28"/>
          <w:szCs w:val="28"/>
          <w:highlight w:val="none"/>
        </w:rPr>
        <w:t>类似项目业绩。</w:t>
      </w:r>
    </w:p>
    <w:p w14:paraId="3263CF36">
      <w:pPr>
        <w:adjustRightInd w:val="0"/>
        <w:snapToGrid w:val="0"/>
        <w:spacing w:line="560" w:lineRule="exact"/>
        <w:ind w:firstLine="560" w:firstLineChars="200"/>
        <w:jc w:val="left"/>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类似项目业绩是指:</w:t>
      </w:r>
      <w:r>
        <w:rPr>
          <w:rFonts w:hint="eastAsia" w:ascii="宋体" w:hAnsi="宋体" w:cs="宋体"/>
          <w:color w:val="auto"/>
          <w:sz w:val="28"/>
          <w:szCs w:val="28"/>
          <w:highlight w:val="none"/>
          <w:u w:val="single"/>
          <w:lang w:eastAsia="zh-CN"/>
        </w:rPr>
        <w:t xml:space="preserve">改性沥青及沥青混凝土加工或施工及类似业绩。  </w:t>
      </w:r>
      <w:r>
        <w:rPr>
          <w:rFonts w:hint="eastAsia" w:ascii="宋体" w:hAnsi="宋体" w:cs="宋体"/>
          <w:color w:val="auto"/>
          <w:sz w:val="28"/>
          <w:szCs w:val="28"/>
          <w:highlight w:val="none"/>
          <w:lang w:eastAsia="zh-CN"/>
        </w:rPr>
        <w:t xml:space="preserve">  </w:t>
      </w:r>
    </w:p>
    <w:p w14:paraId="546C4DDE">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u w:val="none"/>
          <w:lang w:val="en-US" w:eastAsia="zh-CN" w:bidi="ar-SA"/>
        </w:rPr>
        <w:t>注：实施单位根据本项目的特点和实际需要选择1-2项指标作为特征值（特征值一般为单项合同金额、建筑面积、长度等指标）,原则上特征值设置不能超过本项目对应指标的30%。</w:t>
      </w:r>
    </w:p>
    <w:p w14:paraId="21D42A84">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业绩证明材料须提供合同和交（竣）工验收证明或结算单两种资料。</w:t>
      </w:r>
    </w:p>
    <w:p w14:paraId="4B2E6826">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eastAsia="zh-CN" w:bidi="ar-SA"/>
        </w:rPr>
        <w:t>5</w:t>
      </w:r>
      <w:r>
        <w:rPr>
          <w:rFonts w:hint="eastAsia" w:ascii="宋体" w:hAnsi="宋体" w:eastAsia="宋体" w:cs="宋体"/>
          <w:color w:val="auto"/>
          <w:kern w:val="2"/>
          <w:sz w:val="28"/>
          <w:szCs w:val="28"/>
          <w:highlight w:val="none"/>
          <w:u w:val="none"/>
          <w:lang w:val="en-US" w:eastAsia="zh-CN" w:bidi="ar-SA"/>
        </w:rPr>
        <w:t>.项目负责人要求：</w:t>
      </w:r>
    </w:p>
    <w:p w14:paraId="44AC388B">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sym w:font="Wingdings 2" w:char="0052"/>
      </w:r>
      <w:r>
        <w:rPr>
          <w:rFonts w:hint="eastAsia" w:ascii="宋体" w:hAnsi="宋体" w:eastAsia="宋体" w:cs="宋体"/>
          <w:color w:val="auto"/>
          <w:kern w:val="2"/>
          <w:sz w:val="28"/>
          <w:szCs w:val="28"/>
          <w:highlight w:val="none"/>
          <w:u w:val="none"/>
          <w:lang w:val="en-US" w:eastAsia="zh-CN" w:bidi="ar-SA"/>
        </w:rPr>
        <w:t>不提供。</w:t>
      </w:r>
    </w:p>
    <w:p w14:paraId="719C6F30">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 xml:space="preserve">□提供:拟任项目负责人须具有 </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（证书或职称或执业资格等），且为本单位在职员工，并提供劳动和社会保障部门出具的投标截止时间前近半年连续6个月（</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年</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月至</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年</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月）的社保证明。</w:t>
      </w:r>
    </w:p>
    <w:p w14:paraId="44C9BE87">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6.信誉要求：近三年内，在经营活动中无不良记录。参选人必须提供“信用中国”（</w:t>
      </w:r>
      <w:r>
        <w:rPr>
          <w:rFonts w:hint="eastAsia" w:ascii="宋体" w:hAnsi="宋体" w:eastAsia="宋体" w:cs="宋体"/>
          <w:color w:val="auto"/>
          <w:kern w:val="2"/>
          <w:sz w:val="28"/>
          <w:szCs w:val="28"/>
          <w:highlight w:val="none"/>
          <w:u w:val="none"/>
          <w:lang w:val="en-US" w:eastAsia="zh-CN" w:bidi="ar-SA"/>
        </w:rPr>
        <w:fldChar w:fldCharType="begin"/>
      </w:r>
      <w:r>
        <w:rPr>
          <w:rFonts w:hint="eastAsia" w:ascii="宋体" w:hAnsi="宋体" w:eastAsia="宋体" w:cs="宋体"/>
          <w:color w:val="auto"/>
          <w:kern w:val="2"/>
          <w:sz w:val="28"/>
          <w:szCs w:val="28"/>
          <w:highlight w:val="none"/>
          <w:u w:val="none"/>
          <w:lang w:val="en-US" w:eastAsia="zh-CN" w:bidi="ar-SA"/>
        </w:rPr>
        <w:instrText xml:space="preserve"> HYPERLINK "http://www.creditchina.gov.xn--cn)-cm9dj9ca41zd6gd7hnzuu9e90f4qw2y7blje63wds0e./" </w:instrText>
      </w:r>
      <w:r>
        <w:rPr>
          <w:rFonts w:hint="eastAsia" w:ascii="宋体" w:hAnsi="宋体" w:eastAsia="宋体" w:cs="宋体"/>
          <w:color w:val="auto"/>
          <w:kern w:val="2"/>
          <w:sz w:val="28"/>
          <w:szCs w:val="28"/>
          <w:highlight w:val="none"/>
          <w:u w:val="none"/>
          <w:lang w:val="en-US" w:eastAsia="zh-CN" w:bidi="ar-SA"/>
        </w:rPr>
        <w:fldChar w:fldCharType="separate"/>
      </w:r>
      <w:r>
        <w:rPr>
          <w:rFonts w:hint="eastAsia" w:ascii="宋体" w:hAnsi="宋体" w:eastAsia="宋体" w:cs="宋体"/>
          <w:color w:val="auto"/>
          <w:kern w:val="2"/>
          <w:sz w:val="28"/>
          <w:szCs w:val="28"/>
          <w:highlight w:val="none"/>
          <w:u w:val="none"/>
          <w:lang w:val="en-US" w:eastAsia="zh-CN" w:bidi="ar-SA"/>
        </w:rPr>
        <w:t>www.creditchina.gov.cn）信用信息共享平台的信用查询截图。</w:t>
      </w:r>
      <w:r>
        <w:rPr>
          <w:rFonts w:hint="eastAsia" w:ascii="宋体" w:hAnsi="宋体" w:eastAsia="宋体" w:cs="宋体"/>
          <w:color w:val="auto"/>
          <w:kern w:val="2"/>
          <w:sz w:val="28"/>
          <w:szCs w:val="28"/>
          <w:highlight w:val="none"/>
          <w:u w:val="none"/>
          <w:lang w:val="en-US" w:eastAsia="zh-CN" w:bidi="ar-SA"/>
        </w:rPr>
        <w:fldChar w:fldCharType="end"/>
      </w:r>
      <w:r>
        <w:rPr>
          <w:rFonts w:hint="default" w:ascii="宋体" w:hAnsi="宋体" w:eastAsia="宋体" w:cs="宋体"/>
          <w:color w:val="auto"/>
          <w:kern w:val="2"/>
          <w:sz w:val="28"/>
          <w:szCs w:val="28"/>
          <w:highlight w:val="none"/>
          <w:u w:val="none"/>
          <w:lang w:eastAsia="zh-CN" w:bidi="ar-SA"/>
        </w:rPr>
        <w:t>参选单位</w:t>
      </w:r>
      <w:r>
        <w:rPr>
          <w:rFonts w:hint="eastAsia" w:ascii="宋体" w:hAnsi="宋体" w:eastAsia="宋体" w:cs="宋体"/>
          <w:color w:val="auto"/>
          <w:kern w:val="2"/>
          <w:sz w:val="28"/>
          <w:szCs w:val="28"/>
          <w:highlight w:val="none"/>
          <w:u w:val="none"/>
          <w:lang w:val="en-US" w:eastAsia="zh-CN" w:bidi="ar-SA"/>
        </w:rPr>
        <w:t>在近三年内与衡阳路桥无诉讼、仲裁、结算纠纷；</w:t>
      </w:r>
    </w:p>
    <w:p w14:paraId="49C0A833">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b w:val="0"/>
          <w:bCs w:val="0"/>
          <w:color w:val="auto"/>
          <w:spacing w:val="0"/>
          <w:kern w:val="2"/>
          <w:position w:val="0"/>
          <w:sz w:val="28"/>
          <w:szCs w:val="28"/>
          <w:highlight w:val="none"/>
          <w:lang w:val="en-US" w:eastAsia="zh-CN" w:bidi="ar-SA"/>
        </w:rPr>
      </w:pPr>
      <w:r>
        <w:rPr>
          <w:rFonts w:hint="eastAsia" w:ascii="宋体" w:hAnsi="宋体" w:eastAsia="宋体" w:cs="宋体"/>
          <w:b w:val="0"/>
          <w:bCs w:val="0"/>
          <w:color w:val="auto"/>
          <w:spacing w:val="0"/>
          <w:kern w:val="2"/>
          <w:position w:val="0"/>
          <w:sz w:val="28"/>
          <w:szCs w:val="28"/>
          <w:highlight w:val="none"/>
          <w:lang w:val="en-US" w:eastAsia="zh-CN" w:bidi="ar-SA"/>
        </w:rPr>
        <w:t>7.关联要求：</w:t>
      </w:r>
      <w:r>
        <w:rPr>
          <w:rFonts w:hint="default" w:ascii="宋体" w:hAnsi="宋体" w:eastAsia="宋体" w:cs="宋体"/>
          <w:b w:val="0"/>
          <w:bCs w:val="0"/>
          <w:color w:val="auto"/>
          <w:spacing w:val="0"/>
          <w:kern w:val="2"/>
          <w:position w:val="0"/>
          <w:sz w:val="28"/>
          <w:szCs w:val="28"/>
          <w:highlight w:val="none"/>
          <w:lang w:eastAsia="zh-CN" w:bidi="ar-SA"/>
        </w:rPr>
        <w:t>参选单位</w:t>
      </w:r>
      <w:r>
        <w:rPr>
          <w:rFonts w:hint="eastAsia" w:ascii="宋体" w:hAnsi="宋体" w:eastAsia="宋体" w:cs="宋体"/>
          <w:b w:val="0"/>
          <w:bCs w:val="0"/>
          <w:color w:val="auto"/>
          <w:spacing w:val="0"/>
          <w:kern w:val="2"/>
          <w:position w:val="0"/>
          <w:sz w:val="28"/>
          <w:szCs w:val="28"/>
          <w:highlight w:val="none"/>
          <w:lang w:val="en-US" w:eastAsia="zh-CN" w:bidi="ar-SA"/>
        </w:rPr>
        <w:t>法定代表人为同一人或者存在直接控股、管理关系的不同参选人，不得同时参加本次比选。</w:t>
      </w:r>
    </w:p>
    <w:p w14:paraId="209D0A22">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8.联合体要求：本次比选接受联合体参加。</w:t>
      </w:r>
    </w:p>
    <w:p w14:paraId="5E0FB847">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default"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eastAsia="zh-CN" w:bidi="ar-SA"/>
        </w:rPr>
        <w:t>9</w:t>
      </w:r>
      <w:r>
        <w:rPr>
          <w:rFonts w:hint="eastAsia" w:ascii="宋体" w:hAnsi="宋体" w:eastAsia="宋体" w:cs="宋体"/>
          <w:color w:val="auto"/>
          <w:kern w:val="2"/>
          <w:sz w:val="28"/>
          <w:szCs w:val="28"/>
          <w:highlight w:val="none"/>
          <w:u w:val="none"/>
          <w:lang w:val="en-US" w:eastAsia="zh-CN" w:bidi="ar-SA"/>
        </w:rPr>
        <w:t>.参选人须为衡阳路桥材料供应商库中单位。</w:t>
      </w:r>
    </w:p>
    <w:p w14:paraId="550796B6">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eastAsia="zh-CN" w:bidi="ar-SA"/>
        </w:rPr>
        <w:t>10</w:t>
      </w:r>
      <w:r>
        <w:rPr>
          <w:rFonts w:hint="eastAsia" w:ascii="宋体" w:hAnsi="宋体" w:eastAsia="宋体" w:cs="宋体"/>
          <w:color w:val="auto"/>
          <w:kern w:val="2"/>
          <w:sz w:val="28"/>
          <w:szCs w:val="28"/>
          <w:highlight w:val="none"/>
          <w:u w:val="none"/>
          <w:lang w:val="en-US" w:eastAsia="zh-CN" w:bidi="ar-SA"/>
        </w:rPr>
        <w:t>.增值税要求：</w:t>
      </w:r>
    </w:p>
    <w:p w14:paraId="623CF397">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本次招标的工程增值税税率按合同执行。</w:t>
      </w:r>
    </w:p>
    <w:p w14:paraId="45EDCB69">
      <w:pPr>
        <w:pStyle w:val="13"/>
        <w:keepNext w:val="0"/>
        <w:keepLines w:val="0"/>
        <w:widowControl/>
        <w:suppressLineNumbers w:val="0"/>
        <w:spacing w:before="0" w:beforeAutospacing="0" w:after="0" w:afterAutospacing="0" w:line="525" w:lineRule="atLeast"/>
        <w:ind w:right="0" w:firstLine="562" w:firstLineChars="200"/>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b/>
          <w:bCs/>
          <w:i w:val="0"/>
          <w:iCs w:val="0"/>
          <w:caps w:val="0"/>
          <w:color w:val="auto"/>
          <w:spacing w:val="0"/>
          <w:sz w:val="28"/>
          <w:szCs w:val="28"/>
          <w:highlight w:val="none"/>
          <w:shd w:val="clear" w:fill="FFFFFF"/>
          <w:lang w:eastAsia="zh-CN"/>
        </w:rPr>
        <w:t>11.</w:t>
      </w:r>
      <w:r>
        <w:rPr>
          <w:rFonts w:hint="eastAsia" w:ascii="宋体" w:hAnsi="宋体" w:eastAsia="宋体" w:cs="宋体"/>
          <w:color w:val="auto"/>
          <w:kern w:val="2"/>
          <w:sz w:val="28"/>
          <w:szCs w:val="28"/>
          <w:highlight w:val="none"/>
          <w:u w:val="none"/>
          <w:lang w:val="en-US" w:eastAsia="zh-CN" w:bidi="ar-SA"/>
        </w:rPr>
        <w:t>其他要求：</w:t>
      </w:r>
      <w:r>
        <w:rPr>
          <w:rFonts w:hint="eastAsia" w:ascii="宋体" w:hAnsi="宋体" w:eastAsia="宋体" w:cs="宋体"/>
          <w:color w:val="auto"/>
          <w:kern w:val="2"/>
          <w:sz w:val="28"/>
          <w:szCs w:val="28"/>
          <w:highlight w:val="none"/>
          <w:u w:val="single"/>
          <w:lang w:val="en-US" w:eastAsia="zh-CN" w:bidi="ar-SA"/>
        </w:rPr>
        <w:t xml:space="preserve">   /    </w:t>
      </w:r>
      <w:r>
        <w:rPr>
          <w:rFonts w:hint="eastAsia" w:ascii="宋体" w:hAnsi="宋体" w:eastAsia="宋体" w:cs="宋体"/>
          <w:color w:val="auto"/>
          <w:kern w:val="2"/>
          <w:sz w:val="28"/>
          <w:szCs w:val="28"/>
          <w:highlight w:val="none"/>
          <w:u w:val="none"/>
          <w:lang w:val="en-US" w:eastAsia="zh-CN" w:bidi="ar-SA"/>
        </w:rPr>
        <w:t>。（实施单位根据项目实际情况填写）</w:t>
      </w:r>
    </w:p>
    <w:p w14:paraId="5B9F4EA1">
      <w:pPr>
        <w:pStyle w:val="5"/>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0" w:firstLineChars="200"/>
        <w:jc w:val="left"/>
        <w:textAlignment w:val="baseline"/>
        <w:outlineLvl w:val="9"/>
        <w:rPr>
          <w:rFonts w:hint="eastAsia" w:ascii="宋体" w:hAnsi="宋体" w:eastAsia="宋体" w:cs="宋体"/>
          <w:color w:val="auto"/>
          <w:spacing w:val="0"/>
          <w:position w:val="0"/>
          <w:sz w:val="28"/>
          <w:szCs w:val="28"/>
          <w:highlight w:val="none"/>
          <w:lang w:val="en-US" w:eastAsia="zh-CN"/>
        </w:rPr>
      </w:pPr>
      <w:r>
        <w:rPr>
          <w:rFonts w:hint="eastAsia" w:ascii="宋体" w:hAnsi="宋体" w:eastAsia="宋体" w:cs="宋体"/>
          <w:color w:val="auto"/>
          <w:kern w:val="2"/>
          <w:sz w:val="28"/>
          <w:szCs w:val="28"/>
          <w:highlight w:val="none"/>
          <w:u w:val="none"/>
          <w:lang w:val="en-US" w:eastAsia="zh-CN" w:bidi="ar-SA"/>
        </w:rPr>
        <w:t>五、招标比选文件的获取</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xml:space="preserve">   凡有意参加比选的符合条件的比选单位，2026年8月27日至2026年8月30日在衡阳市国有资产投资控股集团有限公司官方网（www.hxamc.com）及衡阳公路桥梁建设有限公司官方网（www.hylqgs.com）下载招标比选文件，并按照比选文件要求参与比选。</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六、投标保证金</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w:t>
      </w:r>
      <w:r>
        <w:rPr>
          <w:rFonts w:hint="eastAsia" w:ascii="宋体" w:hAnsi="宋体" w:cs="宋体"/>
          <w:color w:val="auto"/>
          <w:kern w:val="2"/>
          <w:sz w:val="28"/>
          <w:szCs w:val="28"/>
          <w:highlight w:val="none"/>
          <w:u w:val="none"/>
          <w:lang w:val="en-US" w:eastAsia="zh-CN" w:bidi="ar-SA"/>
        </w:rPr>
        <w:t xml:space="preserve"> </w:t>
      </w:r>
      <w:r>
        <w:rPr>
          <w:rFonts w:hint="eastAsia" w:ascii="宋体" w:hAnsi="宋体" w:eastAsia="宋体" w:cs="宋体"/>
          <w:color w:val="auto"/>
          <w:spacing w:val="0"/>
          <w:position w:val="0"/>
          <w:sz w:val="28"/>
          <w:szCs w:val="28"/>
          <w:highlight w:val="none"/>
          <w:lang w:val="en-US" w:eastAsia="zh-CN"/>
        </w:rPr>
        <w:t>本次比选的投标保证金为</w:t>
      </w:r>
      <w:r>
        <w:rPr>
          <w:rFonts w:hint="eastAsia" w:ascii="宋体" w:hAnsi="宋体" w:eastAsia="宋体" w:cs="宋体"/>
          <w:color w:val="auto"/>
          <w:spacing w:val="0"/>
          <w:position w:val="0"/>
          <w:sz w:val="28"/>
          <w:szCs w:val="28"/>
          <w:highlight w:val="none"/>
          <w:u w:val="single"/>
          <w:lang w:val="en-US" w:eastAsia="zh-CN"/>
        </w:rPr>
        <w:t xml:space="preserve">  80000 </w:t>
      </w:r>
      <w:r>
        <w:rPr>
          <w:rFonts w:hint="eastAsia" w:ascii="宋体" w:hAnsi="宋体" w:eastAsia="宋体" w:cs="宋体"/>
          <w:color w:val="auto"/>
          <w:spacing w:val="0"/>
          <w:position w:val="0"/>
          <w:sz w:val="28"/>
          <w:szCs w:val="28"/>
          <w:highlight w:val="none"/>
          <w:u w:val="single"/>
          <w:lang w:val="en-US" w:eastAsia="zh-CN"/>
        </w:rPr>
        <w:t xml:space="preserve"> </w:t>
      </w:r>
      <w:r>
        <w:rPr>
          <w:rFonts w:hint="eastAsia" w:ascii="宋体" w:hAnsi="宋体" w:eastAsia="宋体" w:cs="宋体"/>
          <w:color w:val="auto"/>
          <w:spacing w:val="0"/>
          <w:position w:val="0"/>
          <w:sz w:val="28"/>
          <w:szCs w:val="28"/>
          <w:highlight w:val="none"/>
          <w:lang w:val="en-US" w:eastAsia="zh-CN"/>
        </w:rPr>
        <w:t>元，采用银行转账或保函形式（银行保函或担保公司保函）。收款账户信息如下：</w:t>
      </w:r>
    </w:p>
    <w:p w14:paraId="34ABBAA9">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户  名：</w:t>
      </w:r>
      <w:r>
        <w:rPr>
          <w:rFonts w:hint="eastAsia" w:ascii="宋体" w:hAnsi="宋体" w:eastAsia="宋体" w:cs="宋体"/>
          <w:color w:val="auto"/>
          <w:spacing w:val="0"/>
          <w:position w:val="0"/>
          <w:sz w:val="28"/>
          <w:szCs w:val="28"/>
          <w:highlight w:val="none"/>
          <w:lang w:val="en-US" w:eastAsia="zh-CN"/>
        </w:rPr>
        <w:t>衡阳公路桥梁建设有限公司常宁分公司</w:t>
      </w:r>
    </w:p>
    <w:p w14:paraId="1EC1F7E8">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开户行：</w:t>
      </w:r>
      <w:bookmarkStart w:id="2" w:name="OLE_LINK12"/>
      <w:r>
        <w:rPr>
          <w:rFonts w:hint="eastAsia" w:ascii="宋体" w:hAnsi="宋体" w:eastAsia="宋体" w:cs="宋体"/>
          <w:color w:val="auto"/>
          <w:spacing w:val="0"/>
          <w:position w:val="0"/>
          <w:sz w:val="28"/>
          <w:szCs w:val="28"/>
          <w:highlight w:val="none"/>
          <w:lang w:val="en-US" w:eastAsia="zh-CN"/>
        </w:rPr>
        <w:t>长沙银行股份有限公司常宁支行</w:t>
      </w:r>
    </w:p>
    <w:bookmarkEnd w:id="2"/>
    <w:p w14:paraId="548CA71B">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账  号：</w:t>
      </w:r>
      <w:r>
        <w:rPr>
          <w:rFonts w:hint="eastAsia" w:ascii="宋体" w:hAnsi="宋体" w:eastAsia="宋体" w:cs="宋体"/>
          <w:color w:val="auto"/>
          <w:spacing w:val="0"/>
          <w:position w:val="0"/>
          <w:sz w:val="28"/>
          <w:szCs w:val="28"/>
          <w:highlight w:val="none"/>
          <w:lang w:val="en-US" w:eastAsia="zh-CN"/>
        </w:rPr>
        <w:t>8100 0034 6224 0000 01</w:t>
      </w:r>
    </w:p>
    <w:p w14:paraId="3D99180C">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 xml:space="preserve">6.1本次比选的投标保证金为 </w:t>
      </w:r>
      <w:r>
        <w:rPr>
          <w:rFonts w:hint="eastAsia" w:ascii="宋体" w:hAnsi="宋体" w:eastAsia="宋体" w:cs="宋体"/>
          <w:color w:val="auto"/>
          <w:spacing w:val="0"/>
          <w:position w:val="0"/>
          <w:sz w:val="28"/>
          <w:szCs w:val="28"/>
          <w:highlight w:val="none"/>
          <w:u w:val="single"/>
          <w:lang w:val="en-US" w:eastAsia="zh-CN"/>
        </w:rPr>
        <w:t xml:space="preserve">  80000 </w:t>
      </w:r>
      <w:r>
        <w:rPr>
          <w:rFonts w:hint="eastAsia" w:ascii="宋体" w:hAnsi="宋体" w:eastAsia="宋体" w:cs="宋体"/>
          <w:color w:val="auto"/>
          <w:spacing w:val="0"/>
          <w:position w:val="0"/>
          <w:sz w:val="28"/>
          <w:szCs w:val="28"/>
          <w:highlight w:val="none"/>
          <w:u w:val="single"/>
          <w:lang w:val="en-US" w:eastAsia="zh-CN"/>
        </w:rPr>
        <w:t xml:space="preserve"> </w:t>
      </w:r>
      <w:r>
        <w:rPr>
          <w:rFonts w:hint="eastAsia" w:ascii="宋体" w:hAnsi="宋体" w:eastAsia="宋体" w:cs="宋体"/>
          <w:snapToGrid w:val="0"/>
          <w:color w:val="auto"/>
          <w:kern w:val="2"/>
          <w:sz w:val="28"/>
          <w:szCs w:val="28"/>
          <w:highlight w:val="none"/>
          <w:u w:val="none"/>
          <w:lang w:val="en-US" w:eastAsia="zh-CN" w:bidi="ar-SA"/>
        </w:rPr>
        <w:t xml:space="preserve"> 元，采用银行保函/担保公司独立保函/保险公司开具的保证保险/现金转账方式。</w:t>
      </w:r>
    </w:p>
    <w:p w14:paraId="0494D77B">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6.2投标保函有效期起止时间应能覆盖投标有效期起止时间；投标保函担保的项目名称应与比选的项目名称保持一致；受益人名称应与采购人单位名称保持一致。</w:t>
      </w:r>
    </w:p>
    <w:p w14:paraId="0A80E98F">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6.3开具的保函或保证保险中可提出索赔的情形应符合比选文件规定，至少包含下列情形：</w:t>
      </w:r>
    </w:p>
    <w:p w14:paraId="20A2880A">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（1）投标人拒绝按照比选文件、投标文件或中标通知书要求与采购人签订合同；</w:t>
      </w:r>
    </w:p>
    <w:p w14:paraId="302724D1">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（2）投标截止后，投标人要求修改、补充或撤销投标文件的实质性内容或者要求更改比选文件和中标通知书的实质性内容；</w:t>
      </w:r>
    </w:p>
    <w:p w14:paraId="2F4DC379">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（3）投标人拒绝按比选文件规定的时间、金额、形式提交履约担保；</w:t>
      </w:r>
    </w:p>
    <w:p w14:paraId="0998F3E0">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（4）投标人在投标截止后撤销投标文件；</w:t>
      </w:r>
    </w:p>
    <w:p w14:paraId="6C6F8589">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color w:val="auto"/>
          <w:spacing w:val="0"/>
          <w:position w:val="0"/>
          <w:sz w:val="28"/>
          <w:szCs w:val="28"/>
          <w:highlight w:val="none"/>
          <w:lang w:val="en-US" w:eastAsia="zh-CN"/>
        </w:rPr>
      </w:pPr>
      <w:r>
        <w:rPr>
          <w:rFonts w:hint="eastAsia" w:ascii="宋体" w:hAnsi="宋体" w:eastAsia="宋体" w:cs="宋体"/>
          <w:snapToGrid w:val="0"/>
          <w:color w:val="auto"/>
          <w:kern w:val="2"/>
          <w:sz w:val="28"/>
          <w:szCs w:val="28"/>
          <w:highlight w:val="none"/>
          <w:u w:val="none"/>
          <w:lang w:val="en-US" w:eastAsia="zh-CN" w:bidi="ar-SA"/>
        </w:rPr>
        <w:t>（5）比选文件规定的违规情形。</w:t>
      </w:r>
    </w:p>
    <w:p w14:paraId="099E6A35">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b w:val="0"/>
          <w:bCs w:val="0"/>
          <w:color w:val="auto"/>
          <w:spacing w:val="0"/>
          <w:kern w:val="2"/>
          <w:position w:val="0"/>
          <w:sz w:val="32"/>
          <w:szCs w:val="32"/>
          <w:highlight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七、开标时间及地点</w:t>
      </w:r>
      <w:r>
        <w:rPr>
          <w:rFonts w:hint="eastAsia" w:ascii="宋体" w:hAnsi="宋体" w:eastAsia="宋体" w:cs="宋体"/>
          <w:i w:val="0"/>
          <w:iCs w:val="0"/>
          <w:caps w:val="0"/>
          <w:color w:val="auto"/>
          <w:spacing w:val="0"/>
          <w:sz w:val="28"/>
          <w:szCs w:val="28"/>
          <w:highlight w:val="none"/>
          <w:shd w:val="clear" w:fill="FFFFFF"/>
          <w:lang w:val="en-US" w:eastAsia="zh-CN"/>
        </w:rPr>
        <w:br w:type="textWrapping"/>
      </w:r>
      <w:r>
        <w:rPr>
          <w:rFonts w:hint="eastAsia" w:ascii="宋体" w:hAnsi="宋体" w:eastAsia="宋体" w:cs="宋体"/>
          <w:i w:val="0"/>
          <w:iCs w:val="0"/>
          <w:caps w:val="0"/>
          <w:color w:val="auto"/>
          <w:spacing w:val="0"/>
          <w:sz w:val="28"/>
          <w:szCs w:val="28"/>
          <w:highlight w:val="none"/>
          <w:shd w:val="clear" w:fill="FFFFFF"/>
          <w:lang w:val="en-US" w:eastAsia="zh-CN"/>
        </w:rPr>
        <w:t>  </w:t>
      </w:r>
      <w:r>
        <w:rPr>
          <w:rFonts w:hint="eastAsia" w:ascii="宋体" w:hAnsi="宋体" w:eastAsia="宋体" w:cs="宋体"/>
          <w:b w:val="0"/>
          <w:bCs w:val="0"/>
          <w:color w:val="auto"/>
          <w:spacing w:val="0"/>
          <w:kern w:val="2"/>
          <w:position w:val="0"/>
          <w:sz w:val="28"/>
          <w:szCs w:val="28"/>
          <w:highlight w:val="none"/>
          <w:lang w:val="en-US" w:eastAsia="zh-CN" w:bidi="ar-SA"/>
        </w:rPr>
        <w:t>本项目拟定于</w:t>
      </w:r>
      <w:r>
        <w:rPr>
          <w:rFonts w:hint="eastAsia" w:ascii="宋体" w:hAnsi="宋体" w:eastAsia="宋体" w:cs="宋体"/>
          <w:b w:val="0"/>
          <w:bCs w:val="0"/>
          <w:color w:val="auto"/>
          <w:spacing w:val="0"/>
          <w:kern w:val="2"/>
          <w:position w:val="0"/>
          <w:sz w:val="28"/>
          <w:szCs w:val="28"/>
          <w:highlight w:val="none"/>
          <w:u w:val="single"/>
          <w:lang w:val="en-US" w:eastAsia="zh-CN" w:bidi="ar-SA"/>
        </w:rPr>
        <w:t>2026</w:t>
      </w:r>
      <w:r>
        <w:rPr>
          <w:rFonts w:hint="eastAsia" w:ascii="宋体" w:hAnsi="宋体" w:eastAsia="宋体" w:cs="宋体"/>
          <w:b w:val="0"/>
          <w:bCs w:val="0"/>
          <w:color w:val="auto"/>
          <w:spacing w:val="0"/>
          <w:kern w:val="2"/>
          <w:position w:val="0"/>
          <w:sz w:val="28"/>
          <w:szCs w:val="28"/>
          <w:highlight w:val="none"/>
          <w:lang w:val="en-US" w:eastAsia="zh-CN" w:bidi="ar-SA"/>
        </w:rPr>
        <w:t>年</w:t>
      </w:r>
      <w:r>
        <w:rPr>
          <w:rFonts w:hint="eastAsia" w:ascii="宋体" w:hAnsi="宋体" w:eastAsia="宋体" w:cs="宋体"/>
          <w:b w:val="0"/>
          <w:bCs w:val="0"/>
          <w:color w:val="auto"/>
          <w:spacing w:val="0"/>
          <w:kern w:val="2"/>
          <w:position w:val="0"/>
          <w:sz w:val="28"/>
          <w:szCs w:val="28"/>
          <w:highlight w:val="none"/>
          <w:u w:val="single"/>
          <w:lang w:val="en-US" w:eastAsia="zh-CN" w:bidi="ar-SA"/>
        </w:rPr>
        <w:t>8</w:t>
      </w:r>
      <w:r>
        <w:rPr>
          <w:rFonts w:hint="eastAsia" w:ascii="宋体" w:hAnsi="宋体" w:eastAsia="宋体" w:cs="宋体"/>
          <w:b w:val="0"/>
          <w:bCs w:val="0"/>
          <w:color w:val="auto"/>
          <w:spacing w:val="0"/>
          <w:kern w:val="2"/>
          <w:position w:val="0"/>
          <w:sz w:val="28"/>
          <w:szCs w:val="28"/>
          <w:highlight w:val="none"/>
          <w:lang w:val="en-US" w:eastAsia="zh-CN" w:bidi="ar-SA"/>
        </w:rPr>
        <w:t>月</w:t>
      </w:r>
      <w:r>
        <w:rPr>
          <w:rFonts w:hint="eastAsia" w:ascii="宋体" w:hAnsi="宋体" w:eastAsia="宋体" w:cs="宋体"/>
          <w:b w:val="0"/>
          <w:bCs w:val="0"/>
          <w:color w:val="auto"/>
          <w:spacing w:val="0"/>
          <w:kern w:val="2"/>
          <w:position w:val="0"/>
          <w:sz w:val="28"/>
          <w:szCs w:val="28"/>
          <w:highlight w:val="none"/>
          <w:u w:val="single"/>
          <w:lang w:val="en-US" w:eastAsia="zh-CN" w:bidi="ar-SA"/>
        </w:rPr>
        <w:t>31</w:t>
      </w:r>
      <w:r>
        <w:rPr>
          <w:rFonts w:hint="eastAsia" w:ascii="宋体" w:hAnsi="宋体" w:eastAsia="宋体" w:cs="宋体"/>
          <w:b w:val="0"/>
          <w:bCs w:val="0"/>
          <w:color w:val="auto"/>
          <w:spacing w:val="0"/>
          <w:kern w:val="2"/>
          <w:position w:val="0"/>
          <w:sz w:val="28"/>
          <w:szCs w:val="28"/>
          <w:highlight w:val="none"/>
          <w:lang w:val="en-US" w:eastAsia="zh-CN" w:bidi="ar-SA"/>
        </w:rPr>
        <w:t>日</w:t>
      </w:r>
      <w:r>
        <w:rPr>
          <w:rFonts w:hint="eastAsia" w:ascii="宋体" w:hAnsi="宋体" w:eastAsia="宋体" w:cs="宋体"/>
          <w:b w:val="0"/>
          <w:bCs w:val="0"/>
          <w:color w:val="auto"/>
          <w:spacing w:val="0"/>
          <w:kern w:val="2"/>
          <w:position w:val="0"/>
          <w:sz w:val="28"/>
          <w:szCs w:val="28"/>
          <w:highlight w:val="none"/>
          <w:u w:val="single"/>
          <w:lang w:val="en-US" w:eastAsia="zh-CN" w:bidi="ar-SA"/>
        </w:rPr>
        <w:t>10</w:t>
      </w:r>
      <w:r>
        <w:rPr>
          <w:rFonts w:hint="eastAsia" w:ascii="宋体" w:hAnsi="宋体" w:eastAsia="宋体" w:cs="宋体"/>
          <w:b w:val="0"/>
          <w:bCs w:val="0"/>
          <w:color w:val="auto"/>
          <w:spacing w:val="0"/>
          <w:kern w:val="2"/>
          <w:position w:val="0"/>
          <w:sz w:val="28"/>
          <w:szCs w:val="28"/>
          <w:highlight w:val="none"/>
          <w:lang w:val="en-US" w:eastAsia="zh-CN" w:bidi="ar-SA"/>
        </w:rPr>
        <w:t>时</w:t>
      </w:r>
      <w:r>
        <w:rPr>
          <w:rFonts w:hint="eastAsia" w:ascii="宋体" w:hAnsi="宋体" w:eastAsia="宋体" w:cs="宋体"/>
          <w:b w:val="0"/>
          <w:bCs w:val="0"/>
          <w:color w:val="auto"/>
          <w:spacing w:val="0"/>
          <w:kern w:val="2"/>
          <w:position w:val="0"/>
          <w:sz w:val="28"/>
          <w:szCs w:val="28"/>
          <w:highlight w:val="none"/>
          <w:u w:val="single"/>
          <w:lang w:val="en-US" w:eastAsia="zh-CN" w:bidi="ar-SA"/>
        </w:rPr>
        <w:t>00</w:t>
      </w:r>
      <w:r>
        <w:rPr>
          <w:rFonts w:hint="eastAsia" w:ascii="宋体" w:hAnsi="宋体" w:eastAsia="宋体" w:cs="宋体"/>
          <w:b w:val="0"/>
          <w:bCs w:val="0"/>
          <w:color w:val="auto"/>
          <w:spacing w:val="0"/>
          <w:kern w:val="2"/>
          <w:position w:val="0"/>
          <w:sz w:val="28"/>
          <w:szCs w:val="28"/>
          <w:highlight w:val="none"/>
          <w:lang w:val="en-US" w:eastAsia="zh-CN" w:bidi="ar-SA"/>
        </w:rPr>
        <w:t>分在衡阳公路桥梁建设有限公司，衡阳市蒸湘区解放路1号财富大厦19楼会议室开标，如有变动将提前一天另行通知。</w:t>
      </w:r>
    </w:p>
    <w:p w14:paraId="0AD7DD2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1.开标当日，各</w:t>
      </w:r>
      <w:r>
        <w:rPr>
          <w:rFonts w:hint="default" w:ascii="宋体" w:hAnsi="宋体" w:eastAsia="宋体" w:cs="宋体"/>
          <w:b w:val="0"/>
          <w:bCs w:val="0"/>
          <w:color w:val="auto"/>
          <w:spacing w:val="0"/>
          <w:position w:val="0"/>
          <w:sz w:val="28"/>
          <w:szCs w:val="28"/>
          <w:highlight w:val="none"/>
          <w:lang w:eastAsia="zh-CN"/>
        </w:rPr>
        <w:t>参选单位</w:t>
      </w:r>
      <w:r>
        <w:rPr>
          <w:rFonts w:hint="eastAsia" w:ascii="宋体" w:hAnsi="宋体" w:eastAsia="宋体" w:cs="宋体"/>
          <w:b w:val="0"/>
          <w:bCs w:val="0"/>
          <w:color w:val="auto"/>
          <w:spacing w:val="0"/>
          <w:position w:val="0"/>
          <w:sz w:val="28"/>
          <w:szCs w:val="28"/>
          <w:highlight w:val="none"/>
          <w:lang w:val="en-US" w:eastAsia="zh-CN"/>
        </w:rPr>
        <w:t>法定代表人持法定代表人身份证明原件和本人身份证原件，或由委托代理人持法定代表人授权委托书原件（附法定代表人身份证明原件）及本人身份证原件到比选方监督代表处验证身份，身份验证不合格的取消其参选资格；同时，</w:t>
      </w:r>
      <w:r>
        <w:rPr>
          <w:rFonts w:hint="default" w:ascii="宋体" w:hAnsi="宋体" w:eastAsia="宋体" w:cs="宋体"/>
          <w:b w:val="0"/>
          <w:bCs w:val="0"/>
          <w:color w:val="auto"/>
          <w:spacing w:val="0"/>
          <w:position w:val="0"/>
          <w:sz w:val="28"/>
          <w:szCs w:val="28"/>
          <w:highlight w:val="none"/>
          <w:lang w:eastAsia="zh-CN"/>
        </w:rPr>
        <w:t>参选单位</w:t>
      </w:r>
      <w:r>
        <w:rPr>
          <w:rFonts w:hint="eastAsia" w:ascii="宋体" w:hAnsi="宋体" w:eastAsia="宋体" w:cs="宋体"/>
          <w:b w:val="0"/>
          <w:bCs w:val="0"/>
          <w:color w:val="auto"/>
          <w:spacing w:val="0"/>
          <w:position w:val="0"/>
          <w:sz w:val="28"/>
          <w:szCs w:val="28"/>
          <w:highlight w:val="none"/>
          <w:lang w:val="en-US" w:eastAsia="zh-CN"/>
        </w:rPr>
        <w:t>须提供投标保证函原件以现场核查，未按比选文件规定按时缴纳投标保证金的，取消其参选资格；身份验证和投标保证金核查通过的</w:t>
      </w:r>
      <w:r>
        <w:rPr>
          <w:rFonts w:hint="default" w:ascii="宋体" w:hAnsi="宋体" w:eastAsia="宋体" w:cs="宋体"/>
          <w:b w:val="0"/>
          <w:bCs w:val="0"/>
          <w:color w:val="auto"/>
          <w:spacing w:val="0"/>
          <w:position w:val="0"/>
          <w:sz w:val="28"/>
          <w:szCs w:val="28"/>
          <w:highlight w:val="none"/>
          <w:lang w:eastAsia="zh-CN"/>
        </w:rPr>
        <w:t>参选单位</w:t>
      </w:r>
      <w:r>
        <w:rPr>
          <w:rFonts w:hint="eastAsia" w:ascii="宋体" w:hAnsi="宋体" w:eastAsia="宋体" w:cs="宋体"/>
          <w:b w:val="0"/>
          <w:bCs w:val="0"/>
          <w:color w:val="auto"/>
          <w:spacing w:val="0"/>
          <w:position w:val="0"/>
          <w:sz w:val="28"/>
          <w:szCs w:val="28"/>
          <w:highlight w:val="none"/>
          <w:lang w:val="en-US" w:eastAsia="zh-CN"/>
        </w:rPr>
        <w:t>按要求填写参选文件接收登记表。</w:t>
      </w:r>
    </w:p>
    <w:p w14:paraId="276EAA13">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Theme="minorEastAsia" w:hAnsiTheme="minorEastAsia" w:eastAsiaTheme="minorEastAsia" w:cstheme="minorEastAsia"/>
          <w:b w:val="0"/>
          <w:bCs w:val="0"/>
          <w:color w:val="auto"/>
          <w:spacing w:val="0"/>
          <w:position w:val="0"/>
          <w:sz w:val="28"/>
          <w:szCs w:val="28"/>
          <w:highlight w:val="none"/>
          <w:lang w:val="en-US" w:eastAsia="zh-CN"/>
        </w:rPr>
      </w:pPr>
      <w:r>
        <w:rPr>
          <w:rFonts w:hint="eastAsia" w:asciiTheme="minorEastAsia" w:hAnsiTheme="minorEastAsia" w:eastAsiaTheme="minorEastAsia" w:cstheme="minorEastAsia"/>
          <w:b w:val="0"/>
          <w:bCs w:val="0"/>
          <w:color w:val="auto"/>
          <w:spacing w:val="0"/>
          <w:position w:val="0"/>
          <w:sz w:val="28"/>
          <w:szCs w:val="28"/>
          <w:highlight w:val="none"/>
          <w:lang w:val="en-US" w:eastAsia="zh-CN"/>
        </w:rPr>
        <w:t>2.逾期送达的或者未送达指定地点的参选文件，招标人不予受理。</w:t>
      </w:r>
    </w:p>
    <w:p w14:paraId="238DC319">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left"/>
        <w:textAlignment w:val="baseline"/>
        <w:outlineLvl w:val="9"/>
        <w:rPr>
          <w:rFonts w:hint="eastAsia" w:asciiTheme="minorEastAsia" w:hAnsiTheme="minorEastAsia" w:eastAsiaTheme="minorEastAsia" w:cstheme="minorEastAsia"/>
          <w:b w:val="0"/>
          <w:bCs w:val="0"/>
          <w:color w:val="auto"/>
          <w:spacing w:val="0"/>
          <w:position w:val="0"/>
          <w:sz w:val="28"/>
          <w:szCs w:val="28"/>
          <w:highlight w:val="none"/>
          <w:lang w:val="en-US" w:eastAsia="zh-CN"/>
        </w:rPr>
      </w:pPr>
      <w:r>
        <w:rPr>
          <w:rFonts w:hint="eastAsia" w:asciiTheme="minorEastAsia" w:hAnsiTheme="minorEastAsia" w:cstheme="minorEastAsia"/>
          <w:b w:val="0"/>
          <w:bCs w:val="0"/>
          <w:color w:val="auto"/>
          <w:spacing w:val="0"/>
          <w:position w:val="0"/>
          <w:sz w:val="28"/>
          <w:szCs w:val="28"/>
          <w:highlight w:val="none"/>
          <w:lang w:val="en-US" w:eastAsia="zh-CN"/>
        </w:rPr>
        <w:t>八</w:t>
      </w:r>
      <w:r>
        <w:rPr>
          <w:rFonts w:hint="eastAsia" w:asciiTheme="minorEastAsia" w:hAnsiTheme="minorEastAsia" w:eastAsiaTheme="minorEastAsia" w:cstheme="minorEastAsia"/>
          <w:b w:val="0"/>
          <w:bCs w:val="0"/>
          <w:color w:val="auto"/>
          <w:spacing w:val="0"/>
          <w:position w:val="0"/>
          <w:sz w:val="28"/>
          <w:szCs w:val="28"/>
          <w:highlight w:val="none"/>
          <w:lang w:val="en-US" w:eastAsia="zh-CN"/>
        </w:rPr>
        <w:t>、发布公告的媒介</w:t>
      </w:r>
      <w:r>
        <w:rPr>
          <w:rFonts w:hint="eastAsia" w:asciiTheme="minorEastAsia" w:hAnsiTheme="minorEastAsia" w:eastAsiaTheme="minorEastAsia" w:cstheme="minorEastAsia"/>
          <w:b w:val="0"/>
          <w:bCs w:val="0"/>
          <w:color w:val="auto"/>
          <w:spacing w:val="0"/>
          <w:position w:val="0"/>
          <w:sz w:val="28"/>
          <w:szCs w:val="28"/>
          <w:highlight w:val="none"/>
          <w:lang w:val="en-US" w:eastAsia="zh-CN"/>
        </w:rPr>
        <w:br w:type="textWrapping"/>
      </w:r>
      <w:r>
        <w:rPr>
          <w:rFonts w:hint="eastAsia" w:asciiTheme="minorEastAsia" w:hAnsiTheme="minorEastAsia" w:eastAsiaTheme="minorEastAsia" w:cstheme="minorEastAsia"/>
          <w:b w:val="0"/>
          <w:bCs w:val="0"/>
          <w:color w:val="auto"/>
          <w:spacing w:val="0"/>
          <w:position w:val="0"/>
          <w:sz w:val="28"/>
          <w:szCs w:val="28"/>
          <w:highlight w:val="none"/>
          <w:lang w:val="en-US" w:eastAsia="zh-CN"/>
        </w:rPr>
        <w:t>  本次比选公告在衡阳市国有资产投资控股集团有限公司官方网（www.hxamc.com）及衡阳公路桥梁建设有限公司官方网站（www.hylqgs.com）上发布。</w:t>
      </w:r>
    </w:p>
    <w:p w14:paraId="2AEDE73A">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644"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color w:val="auto"/>
          <w:spacing w:val="6"/>
          <w:sz w:val="31"/>
          <w:szCs w:val="31"/>
          <w:highlight w:val="none"/>
          <w:lang w:val="en-US" w:eastAsia="zh-CN"/>
        </w:rPr>
        <w:t>注：集团公司项目应同步集团公司官网发布公告。</w:t>
      </w:r>
      <w:r>
        <w:rPr>
          <w:rFonts w:hint="eastAsia" w:asciiTheme="minorEastAsia" w:hAnsiTheme="minorEastAsia" w:eastAsiaTheme="minorEastAsia" w:cstheme="minorEastAsia"/>
          <w:b w:val="0"/>
          <w:bCs w:val="0"/>
          <w:color w:val="auto"/>
          <w:spacing w:val="0"/>
          <w:position w:val="0"/>
          <w:sz w:val="28"/>
          <w:szCs w:val="28"/>
          <w:highlight w:val="none"/>
          <w:lang w:val="en-US" w:eastAsia="zh-CN"/>
        </w:rPr>
        <w:br w:type="textWrapping"/>
      </w:r>
      <w:r>
        <w:rPr>
          <w:rFonts w:hint="eastAsia" w:asciiTheme="minorEastAsia" w:hAnsiTheme="minorEastAsia" w:eastAsiaTheme="minorEastAsia" w:cstheme="minorEastAsia"/>
          <w:b w:val="0"/>
          <w:bCs w:val="0"/>
          <w:color w:val="auto"/>
          <w:spacing w:val="0"/>
          <w:position w:val="0"/>
          <w:sz w:val="28"/>
          <w:szCs w:val="28"/>
          <w:highlight w:val="none"/>
          <w:lang w:val="en-US" w:eastAsia="zh-CN"/>
        </w:rPr>
        <w:t>  </w:t>
      </w:r>
      <w:r>
        <w:rPr>
          <w:rFonts w:hint="eastAsia" w:asciiTheme="minorEastAsia" w:hAnsiTheme="minorEastAsia" w:cstheme="minorEastAsia"/>
          <w:color w:val="auto"/>
          <w:sz w:val="28"/>
          <w:szCs w:val="28"/>
          <w:highlight w:val="none"/>
        </w:rPr>
        <w:t> </w:t>
      </w:r>
      <w:r>
        <w:rPr>
          <w:rFonts w:hint="eastAsia" w:ascii="宋体" w:hAnsi="宋体" w:eastAsia="宋体" w:cs="宋体"/>
          <w:b w:val="0"/>
          <w:bCs w:val="0"/>
          <w:color w:val="auto"/>
          <w:spacing w:val="0"/>
          <w:position w:val="0"/>
          <w:sz w:val="28"/>
          <w:szCs w:val="28"/>
          <w:highlight w:val="none"/>
          <w:lang w:val="en-US" w:eastAsia="zh-CN"/>
        </w:rPr>
        <w:t>九、联系方式</w:t>
      </w:r>
    </w:p>
    <w:p w14:paraId="7ACC41E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招 标 人：衡阳公路桥梁建设有限公司</w:t>
      </w:r>
    </w:p>
    <w:p w14:paraId="2FEFB44A">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地    址：衡阳市蒸湘区解放路1号财富大厦</w:t>
      </w:r>
    </w:p>
    <w:p w14:paraId="64194B7C">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联 系 人：旷阳灿</w:t>
      </w:r>
    </w:p>
    <w:p w14:paraId="2216DA60">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联系电话：18707348281</w:t>
      </w:r>
    </w:p>
    <w:p w14:paraId="3085AF0E">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十、监督</w:t>
      </w:r>
    </w:p>
    <w:p w14:paraId="1B22FAB7">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监督单位：衡阳公路桥梁建设有限公司纪检监察室</w:t>
      </w:r>
    </w:p>
    <w:p w14:paraId="2CE8E6B1">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地    址：衡阳市蒸湘区解放路1号财富大厦18楼1805室</w:t>
      </w:r>
    </w:p>
    <w:p w14:paraId="65D64CCB">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联 系 人：阳骞</w:t>
      </w:r>
    </w:p>
    <w:p w14:paraId="0FA93D1B">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电    话：13974720916</w:t>
      </w:r>
    </w:p>
    <w:p w14:paraId="6C7069A1">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招 标 人：衡阳公路桥梁建设有限公司</w:t>
      </w:r>
    </w:p>
    <w:p w14:paraId="3596920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840" w:firstLineChars="300"/>
        <w:jc w:val="both"/>
        <w:textAlignment w:val="baseline"/>
        <w:outlineLvl w:val="9"/>
        <w:rPr>
          <w:rFonts w:hint="eastAsia" w:ascii="Calibri" w:hAnsi="Calibri" w:eastAsia="方正小标宋简体" w:cs="Times New Roman"/>
          <w:bCs/>
          <w:color w:val="auto"/>
          <w:kern w:val="44"/>
          <w:sz w:val="44"/>
          <w:szCs w:val="44"/>
          <w:highlight w:val="none"/>
          <w:lang w:val="en-US" w:eastAsia="zh-CN" w:bidi="ar-SA"/>
        </w:rPr>
      </w:pPr>
      <w:r>
        <w:rPr>
          <w:rFonts w:hint="eastAsia" w:ascii="宋体" w:hAnsi="宋体" w:eastAsia="宋体" w:cs="宋体"/>
          <w:b w:val="0"/>
          <w:bCs w:val="0"/>
          <w:color w:val="auto"/>
          <w:spacing w:val="0"/>
          <w:position w:val="0"/>
          <w:sz w:val="28"/>
          <w:szCs w:val="28"/>
          <w:highlight w:val="none"/>
          <w:lang w:val="en-US" w:eastAsia="zh-CN"/>
        </w:rPr>
        <w:t xml:space="preserve">                             2026年8月27日</w:t>
      </w:r>
    </w:p>
    <w:p w14:paraId="6C3BA7B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黑体" w:hAnsi="黑体" w:eastAsia="黑体" w:cs="黑体"/>
          <w:b/>
          <w:bCs/>
          <w:color w:val="auto"/>
          <w:kern w:val="0"/>
          <w:sz w:val="32"/>
          <w:szCs w:val="32"/>
          <w:highlight w:val="none"/>
          <w:lang w:val="en-US" w:eastAsia="zh-CN"/>
        </w:rPr>
      </w:pPr>
      <w:r>
        <w:rPr>
          <w:rFonts w:hint="eastAsia" w:ascii="Calibri" w:hAnsi="Calibri" w:eastAsia="方正小标宋简体" w:cs="Times New Roman"/>
          <w:bCs/>
          <w:color w:val="auto"/>
          <w:kern w:val="44"/>
          <w:sz w:val="44"/>
          <w:szCs w:val="44"/>
          <w:highlight w:val="none"/>
          <w:lang w:val="en-US" w:eastAsia="zh-CN" w:bidi="ar-SA"/>
        </w:rPr>
        <w:t>第二章  参选人须知</w:t>
      </w:r>
    </w:p>
    <w:p w14:paraId="759DE426">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kern w:val="0"/>
          <w:sz w:val="32"/>
          <w:szCs w:val="32"/>
          <w:highlight w:val="none"/>
          <w:lang w:val="en-US" w:eastAsia="zh-CN"/>
        </w:rPr>
      </w:pPr>
    </w:p>
    <w:p w14:paraId="2286BEAB">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sz w:val="40"/>
          <w:szCs w:val="40"/>
          <w:highlight w:val="none"/>
          <w:shd w:val="clear" w:color="auto" w:fill="FFFFFF"/>
          <w:lang w:val="en-US" w:eastAsia="zh-CN"/>
        </w:rPr>
      </w:pPr>
      <w:r>
        <w:rPr>
          <w:rFonts w:hint="eastAsia" w:ascii="黑体" w:hAnsi="黑体" w:eastAsia="黑体" w:cs="黑体"/>
          <w:b/>
          <w:bCs/>
          <w:color w:val="auto"/>
          <w:kern w:val="0"/>
          <w:sz w:val="32"/>
          <w:szCs w:val="32"/>
          <w:highlight w:val="none"/>
          <w:lang w:val="en-US" w:eastAsia="zh-CN"/>
        </w:rPr>
        <w:t>参选人</w:t>
      </w:r>
      <w:r>
        <w:rPr>
          <w:rFonts w:hint="eastAsia" w:ascii="黑体" w:hAnsi="黑体" w:eastAsia="黑体" w:cs="黑体"/>
          <w:b/>
          <w:bCs/>
          <w:color w:val="auto"/>
          <w:kern w:val="0"/>
          <w:sz w:val="32"/>
          <w:szCs w:val="32"/>
          <w:highlight w:val="none"/>
        </w:rPr>
        <w:t>须知前附表</w:t>
      </w:r>
    </w:p>
    <w:tbl>
      <w:tblPr>
        <w:tblStyle w:val="15"/>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837"/>
        <w:gridCol w:w="6532"/>
      </w:tblGrid>
      <w:tr w14:paraId="08801A74">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tcPr>
          <w:p w14:paraId="7E249AF7">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1837" w:type="dxa"/>
            <w:tcBorders>
              <w:top w:val="single" w:color="000000" w:sz="4" w:space="0"/>
              <w:left w:val="nil"/>
              <w:bottom w:val="single" w:color="000000" w:sz="4" w:space="0"/>
              <w:right w:val="single" w:color="000000" w:sz="4" w:space="0"/>
            </w:tcBorders>
          </w:tcPr>
          <w:p w14:paraId="7EF30A38">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532" w:type="dxa"/>
            <w:tcBorders>
              <w:top w:val="single" w:color="000000" w:sz="4" w:space="0"/>
              <w:left w:val="nil"/>
              <w:bottom w:val="single" w:color="000000" w:sz="4" w:space="0"/>
              <w:right w:val="single" w:color="000000" w:sz="4" w:space="0"/>
            </w:tcBorders>
          </w:tcPr>
          <w:p w14:paraId="5D4046F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14:paraId="1D5666BD">
        <w:tblPrEx>
          <w:tblCellMar>
            <w:top w:w="0" w:type="dxa"/>
            <w:left w:w="108" w:type="dxa"/>
            <w:bottom w:w="0" w:type="dxa"/>
            <w:right w:w="108" w:type="dxa"/>
          </w:tblCellMar>
        </w:tblPrEx>
        <w:trPr>
          <w:trHeight w:val="191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FEC0DD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1837" w:type="dxa"/>
            <w:tcBorders>
              <w:top w:val="single" w:color="000000" w:sz="4" w:space="0"/>
              <w:left w:val="nil"/>
              <w:bottom w:val="single" w:color="000000" w:sz="4" w:space="0"/>
              <w:right w:val="single" w:color="000000" w:sz="4" w:space="0"/>
            </w:tcBorders>
            <w:vAlign w:val="center"/>
          </w:tcPr>
          <w:p w14:paraId="6C3E69F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招标人</w:t>
            </w:r>
          </w:p>
        </w:tc>
        <w:tc>
          <w:tcPr>
            <w:tcW w:w="6532" w:type="dxa"/>
            <w:tcBorders>
              <w:top w:val="single" w:color="000000" w:sz="4" w:space="0"/>
              <w:left w:val="nil"/>
              <w:bottom w:val="single" w:color="000000" w:sz="4" w:space="0"/>
              <w:right w:val="single" w:color="000000" w:sz="4" w:space="0"/>
            </w:tcBorders>
            <w:vAlign w:val="center"/>
          </w:tcPr>
          <w:p w14:paraId="1CA2AE31">
            <w:pPr>
              <w:widowControl/>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招标人 ：衡阳公路桥梁建设有限公司</w:t>
            </w:r>
          </w:p>
          <w:p w14:paraId="11632B25">
            <w:pPr>
              <w:widowControl/>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地    址：衡阳市蒸湘区解放路1号财富大厦</w:t>
            </w:r>
          </w:p>
          <w:p w14:paraId="77343929">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联</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人：</w:t>
            </w:r>
            <w:r>
              <w:rPr>
                <w:rFonts w:hint="eastAsia" w:ascii="仿宋" w:hAnsi="仿宋" w:eastAsia="仿宋" w:cs="仿宋"/>
                <w:color w:val="auto"/>
                <w:kern w:val="0"/>
                <w:sz w:val="24"/>
                <w:szCs w:val="24"/>
                <w:highlight w:val="none"/>
                <w:lang w:val="en-US" w:eastAsia="zh-CN"/>
              </w:rPr>
              <w:t>旷阳灿</w:t>
            </w:r>
          </w:p>
          <w:p w14:paraId="60CE03A4">
            <w:pPr>
              <w:adjustRightInd w:val="0"/>
              <w:snapToGrid w:val="0"/>
              <w:spacing w:line="56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电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话</w:t>
            </w:r>
            <w:r>
              <w:rPr>
                <w:rFonts w:hint="eastAsia" w:ascii="仿宋" w:hAnsi="仿宋" w:eastAsia="仿宋" w:cs="仿宋"/>
                <w:color w:val="auto"/>
                <w:kern w:val="0"/>
                <w:sz w:val="24"/>
                <w:szCs w:val="24"/>
                <w:highlight w:val="none"/>
                <w:lang w:val="en-US" w:eastAsia="zh-CN"/>
              </w:rPr>
              <w:t>：18707348281</w:t>
            </w:r>
          </w:p>
        </w:tc>
      </w:tr>
      <w:tr w14:paraId="3A9B91C8">
        <w:tblPrEx>
          <w:tblCellMar>
            <w:top w:w="0" w:type="dxa"/>
            <w:left w:w="108" w:type="dxa"/>
            <w:bottom w:w="0" w:type="dxa"/>
            <w:right w:w="108" w:type="dxa"/>
          </w:tblCellMar>
        </w:tblPrEx>
        <w:trPr>
          <w:trHeight w:val="578"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93011DA">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1837" w:type="dxa"/>
            <w:tcBorders>
              <w:top w:val="single" w:color="000000" w:sz="4" w:space="0"/>
              <w:left w:val="nil"/>
              <w:bottom w:val="single" w:color="000000" w:sz="4" w:space="0"/>
              <w:right w:val="single" w:color="000000" w:sz="4" w:space="0"/>
            </w:tcBorders>
            <w:vAlign w:val="center"/>
          </w:tcPr>
          <w:p w14:paraId="331D3579">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532" w:type="dxa"/>
            <w:tcBorders>
              <w:top w:val="single" w:color="000000" w:sz="4" w:space="0"/>
              <w:left w:val="nil"/>
              <w:bottom w:val="single" w:color="000000" w:sz="4" w:space="0"/>
              <w:right w:val="single" w:color="000000" w:sz="4" w:space="0"/>
            </w:tcBorders>
            <w:vAlign w:val="center"/>
          </w:tcPr>
          <w:p w14:paraId="140375F6">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G234常宁市新河至蒲竹公路工程一期工程项目部</w:t>
            </w:r>
          </w:p>
        </w:tc>
      </w:tr>
      <w:tr w14:paraId="08B76605">
        <w:tblPrEx>
          <w:tblCellMar>
            <w:top w:w="0" w:type="dxa"/>
            <w:left w:w="108" w:type="dxa"/>
            <w:bottom w:w="0" w:type="dxa"/>
            <w:right w:w="108" w:type="dxa"/>
          </w:tblCellMar>
        </w:tblPrEx>
        <w:trPr>
          <w:trHeight w:val="56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5C2BC67">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1837" w:type="dxa"/>
            <w:tcBorders>
              <w:top w:val="single" w:color="000000" w:sz="4" w:space="0"/>
              <w:left w:val="nil"/>
              <w:bottom w:val="single" w:color="000000" w:sz="4" w:space="0"/>
              <w:right w:val="single" w:color="000000" w:sz="4" w:space="0"/>
            </w:tcBorders>
            <w:vAlign w:val="center"/>
          </w:tcPr>
          <w:p w14:paraId="0352271F">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532" w:type="dxa"/>
            <w:tcBorders>
              <w:top w:val="single" w:color="000000" w:sz="4" w:space="0"/>
              <w:left w:val="nil"/>
              <w:bottom w:val="single" w:color="000000" w:sz="4" w:space="0"/>
              <w:right w:val="single" w:color="000000" w:sz="4" w:space="0"/>
            </w:tcBorders>
            <w:vAlign w:val="center"/>
          </w:tcPr>
          <w:p w14:paraId="4DAC3B05">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改性沥青及沥青混凝土采购</w:t>
            </w:r>
          </w:p>
        </w:tc>
      </w:tr>
      <w:tr w14:paraId="4295C546">
        <w:tblPrEx>
          <w:tblCellMar>
            <w:top w:w="0" w:type="dxa"/>
            <w:left w:w="108" w:type="dxa"/>
            <w:bottom w:w="0" w:type="dxa"/>
            <w:right w:w="108" w:type="dxa"/>
          </w:tblCellMar>
        </w:tblPrEx>
        <w:trPr>
          <w:trHeight w:val="55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C36075A">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1837" w:type="dxa"/>
            <w:tcBorders>
              <w:top w:val="single" w:color="000000" w:sz="4" w:space="0"/>
              <w:left w:val="nil"/>
              <w:bottom w:val="single" w:color="000000" w:sz="4" w:space="0"/>
              <w:right w:val="single" w:color="000000" w:sz="4" w:space="0"/>
            </w:tcBorders>
            <w:vAlign w:val="center"/>
          </w:tcPr>
          <w:p w14:paraId="36FD8BC2">
            <w:pPr>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532" w:type="dxa"/>
            <w:tcBorders>
              <w:top w:val="single" w:color="000000" w:sz="4" w:space="0"/>
              <w:left w:val="nil"/>
              <w:bottom w:val="single" w:color="000000" w:sz="4" w:space="0"/>
              <w:right w:val="single" w:color="000000" w:sz="4" w:space="0"/>
            </w:tcBorders>
            <w:vAlign w:val="center"/>
          </w:tcPr>
          <w:p w14:paraId="4FFBFA34">
            <w:pPr>
              <w:keepNext w:val="0"/>
              <w:keepLines w:val="0"/>
              <w:pageBreakBefore w:val="0"/>
              <w:kinsoku/>
              <w:wordWrap/>
              <w:overflowPunct/>
              <w:topLinePunct w:val="0"/>
              <w:autoSpaceDE/>
              <w:autoSpaceDN/>
              <w:bidi w:val="0"/>
              <w:adjustRightInd w:val="0"/>
              <w:snapToGrid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财政拨款</w:t>
            </w:r>
          </w:p>
        </w:tc>
      </w:tr>
      <w:tr w14:paraId="124A1E0C">
        <w:tblPrEx>
          <w:tblCellMar>
            <w:top w:w="0" w:type="dxa"/>
            <w:left w:w="108" w:type="dxa"/>
            <w:bottom w:w="0" w:type="dxa"/>
            <w:right w:w="108" w:type="dxa"/>
          </w:tblCellMar>
        </w:tblPrEx>
        <w:trPr>
          <w:trHeight w:val="56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B1B4689">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1837" w:type="dxa"/>
            <w:tcBorders>
              <w:top w:val="single" w:color="000000" w:sz="4" w:space="0"/>
              <w:left w:val="nil"/>
              <w:bottom w:val="single" w:color="000000" w:sz="4" w:space="0"/>
              <w:right w:val="single" w:color="000000" w:sz="4" w:space="0"/>
            </w:tcBorders>
            <w:vAlign w:val="center"/>
          </w:tcPr>
          <w:p w14:paraId="1CD3133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比选范围</w:t>
            </w:r>
          </w:p>
        </w:tc>
        <w:tc>
          <w:tcPr>
            <w:tcW w:w="6532" w:type="dxa"/>
            <w:tcBorders>
              <w:top w:val="single" w:color="000000" w:sz="4" w:space="0"/>
              <w:left w:val="nil"/>
              <w:bottom w:val="single" w:color="000000" w:sz="4" w:space="0"/>
              <w:right w:val="single" w:color="000000" w:sz="4" w:space="0"/>
            </w:tcBorders>
            <w:vAlign w:val="center"/>
          </w:tcPr>
          <w:p w14:paraId="601675A2">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改性沥青及沥青混凝土采购招标</w:t>
            </w:r>
          </w:p>
        </w:tc>
      </w:tr>
      <w:tr w14:paraId="0EFC798C">
        <w:tblPrEx>
          <w:tblCellMar>
            <w:top w:w="0" w:type="dxa"/>
            <w:left w:w="108" w:type="dxa"/>
            <w:bottom w:w="0" w:type="dxa"/>
            <w:right w:w="108" w:type="dxa"/>
          </w:tblCellMar>
        </w:tblPrEx>
        <w:trPr>
          <w:trHeight w:val="587"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FAB672D">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1837" w:type="dxa"/>
            <w:tcBorders>
              <w:top w:val="single" w:color="000000" w:sz="4" w:space="0"/>
              <w:left w:val="nil"/>
              <w:bottom w:val="single" w:color="000000" w:sz="4" w:space="0"/>
              <w:right w:val="single" w:color="000000" w:sz="4" w:space="0"/>
            </w:tcBorders>
            <w:vAlign w:val="center"/>
          </w:tcPr>
          <w:p w14:paraId="48CF1AED">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532" w:type="dxa"/>
            <w:tcBorders>
              <w:top w:val="single" w:color="000000" w:sz="4" w:space="0"/>
              <w:left w:val="nil"/>
              <w:bottom w:val="single" w:color="000000" w:sz="4" w:space="0"/>
              <w:right w:val="single" w:color="000000" w:sz="4" w:space="0"/>
            </w:tcBorders>
            <w:vAlign w:val="center"/>
          </w:tcPr>
          <w:p w14:paraId="490420A0">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至工程完工</w:t>
            </w:r>
          </w:p>
        </w:tc>
      </w:tr>
      <w:tr w14:paraId="1F774C56">
        <w:tblPrEx>
          <w:tblCellMar>
            <w:top w:w="0" w:type="dxa"/>
            <w:left w:w="108" w:type="dxa"/>
            <w:bottom w:w="0" w:type="dxa"/>
            <w:right w:w="108" w:type="dxa"/>
          </w:tblCellMar>
        </w:tblPrEx>
        <w:trPr>
          <w:trHeight w:val="129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4115173">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1837" w:type="dxa"/>
            <w:tcBorders>
              <w:top w:val="single" w:color="000000" w:sz="4" w:space="0"/>
              <w:left w:val="nil"/>
              <w:bottom w:val="single" w:color="000000" w:sz="4" w:space="0"/>
              <w:right w:val="single" w:color="000000" w:sz="4" w:space="0"/>
            </w:tcBorders>
            <w:vAlign w:val="center"/>
          </w:tcPr>
          <w:p w14:paraId="4EA841B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532" w:type="dxa"/>
            <w:tcBorders>
              <w:top w:val="single" w:color="000000" w:sz="4" w:space="0"/>
              <w:left w:val="nil"/>
              <w:bottom w:val="single" w:color="000000" w:sz="4" w:space="0"/>
              <w:right w:val="single" w:color="000000" w:sz="4" w:space="0"/>
            </w:tcBorders>
            <w:vAlign w:val="center"/>
          </w:tcPr>
          <w:p w14:paraId="230C2134">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1.参选人具有独立法人资格并依法取得营业执照并在有效期限内；</w:t>
            </w:r>
          </w:p>
          <w:p w14:paraId="2CCD8430">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kern w:val="0"/>
                <w:sz w:val="24"/>
                <w:highlight w:val="none"/>
              </w:rPr>
              <w:t>具有较强的技术力量、经济实力，并在人员、设备等方面具有承担本次招标工作</w:t>
            </w:r>
            <w:r>
              <w:rPr>
                <w:rFonts w:hint="eastAsia" w:ascii="仿宋" w:hAnsi="仿宋" w:eastAsia="仿宋" w:cs="仿宋"/>
                <w:color w:val="auto"/>
                <w:kern w:val="0"/>
                <w:sz w:val="24"/>
                <w:highlight w:val="none"/>
                <w:lang w:val="en-US" w:eastAsia="zh-CN"/>
              </w:rPr>
              <w:t>材料销售或加工的能力</w:t>
            </w:r>
            <w:r>
              <w:rPr>
                <w:rFonts w:hint="eastAsia" w:ascii="仿宋" w:hAnsi="仿宋" w:eastAsia="仿宋" w:cs="仿宋"/>
                <w:color w:val="auto"/>
                <w:kern w:val="0"/>
                <w:sz w:val="24"/>
                <w:highlight w:val="none"/>
              </w:rPr>
              <w:t>；</w:t>
            </w:r>
          </w:p>
          <w:p w14:paraId="2264EB66">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14:paraId="64848369">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highlight w:val="none"/>
              </w:rPr>
            </w:pPr>
            <w:r>
              <w:rPr>
                <w:rFonts w:hint="eastAsia" w:ascii="仿宋" w:hAnsi="仿宋" w:eastAsia="仿宋" w:cs="仿宋"/>
                <w:color w:val="auto"/>
                <w:kern w:val="0"/>
                <w:sz w:val="24"/>
                <w:szCs w:val="24"/>
                <w:highlight w:val="none"/>
                <w:lang w:val="en-US" w:eastAsia="zh-CN"/>
              </w:rPr>
              <w:sym w:font="Wingdings 2" w:char="0052"/>
            </w:r>
            <w:r>
              <w:rPr>
                <w:rFonts w:hint="eastAsia" w:ascii="仿宋" w:hAnsi="仿宋" w:eastAsia="仿宋" w:cs="仿宋"/>
                <w:color w:val="auto"/>
                <w:kern w:val="0"/>
                <w:sz w:val="24"/>
                <w:szCs w:val="24"/>
                <w:highlight w:val="none"/>
                <w:lang w:val="en-US" w:eastAsia="zh-CN"/>
              </w:rPr>
              <w:t>提供:</w:t>
            </w:r>
            <w:r>
              <w:rPr>
                <w:rFonts w:hint="eastAsia" w:ascii="仿宋" w:hAnsi="仿宋" w:eastAsia="仿宋" w:cs="仿宋"/>
                <w:color w:val="auto"/>
                <w:kern w:val="0"/>
                <w:sz w:val="24"/>
                <w:highlight w:val="none"/>
                <w:lang w:eastAsia="zh-CN"/>
              </w:rPr>
              <w:t>（ 202</w:t>
            </w: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eastAsia="zh-CN"/>
              </w:rPr>
              <w:t xml:space="preserve"> 年 </w:t>
            </w:r>
            <w:r>
              <w:rPr>
                <w:rFonts w:hint="eastAsia" w:ascii="仿宋" w:hAnsi="仿宋" w:eastAsia="仿宋" w:cs="仿宋"/>
                <w:color w:val="auto"/>
                <w:kern w:val="0"/>
                <w:sz w:val="24"/>
                <w:highlight w:val="none"/>
                <w:lang w:val="en-US" w:eastAsia="zh-CN"/>
              </w:rPr>
              <w:t>8</w:t>
            </w:r>
            <w:r>
              <w:rPr>
                <w:rFonts w:hint="eastAsia" w:ascii="仿宋" w:hAnsi="仿宋" w:eastAsia="仿宋" w:cs="仿宋"/>
                <w:color w:val="auto"/>
                <w:kern w:val="0"/>
                <w:sz w:val="24"/>
                <w:highlight w:val="none"/>
                <w:lang w:eastAsia="zh-CN"/>
              </w:rPr>
              <w:t xml:space="preserve"> 月至 202</w:t>
            </w: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lang w:eastAsia="zh-CN"/>
              </w:rPr>
              <w:t xml:space="preserve"> 年 </w:t>
            </w:r>
            <w:r>
              <w:rPr>
                <w:rFonts w:hint="eastAsia" w:ascii="仿宋" w:hAnsi="仿宋" w:eastAsia="仿宋" w:cs="仿宋"/>
                <w:color w:val="auto"/>
                <w:kern w:val="0"/>
                <w:sz w:val="24"/>
                <w:highlight w:val="none"/>
                <w:lang w:val="en-US" w:eastAsia="zh-CN"/>
              </w:rPr>
              <w:t>8</w:t>
            </w:r>
            <w:r>
              <w:rPr>
                <w:rFonts w:hint="eastAsia" w:ascii="仿宋" w:hAnsi="仿宋" w:eastAsia="仿宋" w:cs="仿宋"/>
                <w:color w:val="auto"/>
                <w:kern w:val="0"/>
                <w:sz w:val="24"/>
                <w:highlight w:val="none"/>
                <w:lang w:eastAsia="zh-CN"/>
              </w:rPr>
              <w:t xml:space="preserve"> 月）不少于 1  个（1至3个）  </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eastAsia="zh-CN"/>
              </w:rPr>
              <w:t xml:space="preserve">00万  </w:t>
            </w:r>
            <w:r>
              <w:rPr>
                <w:rFonts w:hint="eastAsia" w:ascii="仿宋" w:hAnsi="仿宋" w:eastAsia="仿宋" w:cs="仿宋"/>
                <w:color w:val="auto"/>
                <w:kern w:val="0"/>
                <w:sz w:val="24"/>
                <w:highlight w:val="none"/>
              </w:rPr>
              <w:t>的类似项目业绩。</w:t>
            </w:r>
          </w:p>
          <w:p w14:paraId="363C719A">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类似项目业绩是指:          。</w:t>
            </w:r>
          </w:p>
          <w:p w14:paraId="60F06785">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注：实施单位根据本项目的特点和实际需要选择1-2项指标作为特征值（特征值一般为单项合同金额、建筑面积、长度等指标）,原则上特征值设置不能超过本项目对应指标的30%。</w:t>
            </w:r>
          </w:p>
          <w:p w14:paraId="5CE318E5">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业绩证明材料须提供合同、交（竣）工验收证明或结算单两种资料。</w:t>
            </w:r>
          </w:p>
          <w:p w14:paraId="19B767FB">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3.项目负责人要求：</w:t>
            </w:r>
          </w:p>
          <w:p w14:paraId="00A1B5E6">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sym w:font="Wingdings 2" w:char="0052"/>
            </w:r>
            <w:r>
              <w:rPr>
                <w:rFonts w:hint="eastAsia" w:ascii="仿宋" w:hAnsi="仿宋" w:eastAsia="仿宋" w:cs="仿宋"/>
                <w:color w:val="auto"/>
                <w:kern w:val="0"/>
                <w:sz w:val="24"/>
                <w:szCs w:val="24"/>
                <w:highlight w:val="none"/>
                <w:lang w:val="en-US" w:eastAsia="zh-CN"/>
              </w:rPr>
              <w:t>不提供。</w:t>
            </w:r>
          </w:p>
          <w:p w14:paraId="0326F135">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□提供:拟任项目负责人须具有      （证书或职称或执业资格等），且为本单位在职员工，并提供劳动和社会保障部门出具的投标截止时间前近半年连续6个月（  年  月至  年  月）的社保证明。</w:t>
            </w:r>
          </w:p>
          <w:p w14:paraId="02452985">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4.信誉要求：近三年内，在经营活动中无不良记录。参选人必须提供“信用中国”（</w:t>
            </w:r>
            <w:r>
              <w:rPr>
                <w:rFonts w:hint="eastAsia" w:ascii="仿宋" w:hAnsi="仿宋" w:eastAsia="仿宋" w:cs="仿宋"/>
                <w:color w:val="auto"/>
                <w:kern w:val="0"/>
                <w:sz w:val="24"/>
                <w:szCs w:val="24"/>
                <w:highlight w:val="none"/>
                <w:lang w:val="en-US" w:eastAsia="zh-CN"/>
              </w:rPr>
              <w:fldChar w:fldCharType="begin"/>
            </w:r>
            <w:r>
              <w:rPr>
                <w:rFonts w:hint="eastAsia" w:ascii="仿宋" w:hAnsi="仿宋" w:eastAsia="仿宋" w:cs="仿宋"/>
                <w:color w:val="auto"/>
                <w:kern w:val="0"/>
                <w:sz w:val="24"/>
                <w:szCs w:val="24"/>
                <w:highlight w:val="none"/>
                <w:lang w:val="en-US" w:eastAsia="zh-CN"/>
              </w:rPr>
              <w:instrText xml:space="preserve"> HYPERLINK "http://www.creditchina.gov.xn--cn)-cm9dj9ca41zd6gd7hnzuu9e90f4qw2y7blje63wds0e./" </w:instrText>
            </w:r>
            <w:r>
              <w:rPr>
                <w:rFonts w:hint="eastAsia" w:ascii="仿宋" w:hAnsi="仿宋" w:eastAsia="仿宋" w:cs="仿宋"/>
                <w:color w:val="auto"/>
                <w:kern w:val="0"/>
                <w:sz w:val="24"/>
                <w:szCs w:val="24"/>
                <w:highlight w:val="none"/>
                <w:lang w:val="en-US" w:eastAsia="zh-CN"/>
              </w:rPr>
              <w:fldChar w:fldCharType="separate"/>
            </w:r>
            <w:r>
              <w:rPr>
                <w:rFonts w:hint="eastAsia" w:ascii="仿宋" w:hAnsi="仿宋" w:eastAsia="仿宋" w:cs="仿宋"/>
                <w:color w:val="auto"/>
                <w:kern w:val="0"/>
                <w:sz w:val="24"/>
                <w:szCs w:val="24"/>
                <w:highlight w:val="none"/>
                <w:lang w:val="en-US" w:eastAsia="zh-CN"/>
              </w:rPr>
              <w:t>www.creditchina.gov.cn）信用信息共享平台的信用查询截图。</w:t>
            </w:r>
            <w:r>
              <w:rPr>
                <w:rFonts w:hint="eastAsia" w:ascii="仿宋" w:hAnsi="仿宋" w:eastAsia="仿宋" w:cs="仿宋"/>
                <w:color w:val="auto"/>
                <w:kern w:val="0"/>
                <w:sz w:val="24"/>
                <w:szCs w:val="24"/>
                <w:highlight w:val="none"/>
                <w:lang w:val="en-US" w:eastAsia="zh-CN"/>
              </w:rPr>
              <w:fldChar w:fldCharType="end"/>
            </w:r>
            <w:r>
              <w:rPr>
                <w:rFonts w:hint="default" w:ascii="仿宋" w:hAnsi="仿宋" w:eastAsia="仿宋" w:cs="仿宋"/>
                <w:color w:val="auto"/>
                <w:kern w:val="0"/>
                <w:sz w:val="24"/>
                <w:szCs w:val="24"/>
                <w:highlight w:val="none"/>
                <w:lang w:eastAsia="zh-CN"/>
              </w:rPr>
              <w:t>参选单位</w:t>
            </w:r>
            <w:r>
              <w:rPr>
                <w:rFonts w:hint="eastAsia" w:ascii="仿宋" w:hAnsi="仿宋" w:eastAsia="仿宋" w:cs="仿宋"/>
                <w:color w:val="auto"/>
                <w:kern w:val="0"/>
                <w:sz w:val="24"/>
                <w:szCs w:val="24"/>
                <w:highlight w:val="none"/>
                <w:lang w:val="en-US" w:eastAsia="zh-CN"/>
              </w:rPr>
              <w:t>在近三年内与衡阳路桥无诉讼、仲裁、结算纠纷；</w:t>
            </w:r>
          </w:p>
          <w:p w14:paraId="72146DF1">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5.关联要求：</w:t>
            </w:r>
            <w:r>
              <w:rPr>
                <w:rFonts w:hint="default" w:ascii="仿宋" w:hAnsi="仿宋" w:eastAsia="仿宋" w:cs="仿宋"/>
                <w:color w:val="auto"/>
                <w:kern w:val="0"/>
                <w:sz w:val="24"/>
                <w:szCs w:val="24"/>
                <w:highlight w:val="none"/>
                <w:lang w:eastAsia="zh-CN"/>
              </w:rPr>
              <w:t>参选单位</w:t>
            </w:r>
            <w:r>
              <w:rPr>
                <w:rFonts w:hint="eastAsia" w:ascii="仿宋" w:hAnsi="仿宋" w:eastAsia="仿宋" w:cs="仿宋"/>
                <w:color w:val="auto"/>
                <w:kern w:val="0"/>
                <w:sz w:val="24"/>
                <w:szCs w:val="24"/>
                <w:highlight w:val="none"/>
                <w:lang w:val="en-US" w:eastAsia="zh-CN"/>
              </w:rPr>
              <w:t>法定代表人为同一人或者存在直接控股、管理关系的不同参选人，不得同时参加本次比选。</w:t>
            </w:r>
          </w:p>
          <w:p w14:paraId="4309DBE2">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6.联合体要求：本次比选接受联合体参加。</w:t>
            </w:r>
          </w:p>
          <w:p w14:paraId="40055A9D">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7.参选人须为衡阳路桥材料库中单位，未入库单位须通过线下向招标单位提交相关书面申请资料，办理材料库准入，只有完成入库手续的分包单位才能进行投标。</w:t>
            </w:r>
          </w:p>
          <w:p w14:paraId="605B1734">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8.增值税要求：</w:t>
            </w:r>
          </w:p>
          <w:p w14:paraId="23F4FC8B">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本次招标的工程增值税税率按合同执行。</w:t>
            </w:r>
          </w:p>
          <w:p w14:paraId="1DFAA85D">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b w:val="0"/>
                <w:bCs w:val="0"/>
                <w:color w:val="auto"/>
                <w:spacing w:val="0"/>
                <w:kern w:val="2"/>
                <w:positio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9.其他要求：</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lang w:val="en-US" w:eastAsia="zh-CN"/>
              </w:rPr>
              <w:t>。（实施单位根据项目实际情况填写）</w:t>
            </w:r>
          </w:p>
        </w:tc>
      </w:tr>
      <w:tr w14:paraId="1508C18B">
        <w:tblPrEx>
          <w:tblCellMar>
            <w:top w:w="0" w:type="dxa"/>
            <w:left w:w="108" w:type="dxa"/>
            <w:bottom w:w="0" w:type="dxa"/>
            <w:right w:w="108" w:type="dxa"/>
          </w:tblCellMar>
        </w:tblPrEx>
        <w:trPr>
          <w:trHeight w:val="1492"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D155C59">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837" w:type="dxa"/>
            <w:tcBorders>
              <w:top w:val="single" w:color="000000" w:sz="4" w:space="0"/>
              <w:left w:val="nil"/>
              <w:bottom w:val="single" w:color="000000" w:sz="4" w:space="0"/>
              <w:right w:val="single" w:color="000000" w:sz="4" w:space="0"/>
            </w:tcBorders>
          </w:tcPr>
          <w:p w14:paraId="063CF792">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提出问题的截止时间</w:t>
            </w:r>
          </w:p>
        </w:tc>
        <w:tc>
          <w:tcPr>
            <w:tcW w:w="6532" w:type="dxa"/>
            <w:tcBorders>
              <w:top w:val="single" w:color="000000" w:sz="4" w:space="0"/>
              <w:left w:val="nil"/>
              <w:bottom w:val="single" w:color="000000" w:sz="4" w:space="0"/>
              <w:right w:val="single" w:color="000000" w:sz="4" w:space="0"/>
            </w:tcBorders>
            <w:vAlign w:val="center"/>
          </w:tcPr>
          <w:p w14:paraId="7B75D5A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highlight w:val="none"/>
              </w:rPr>
              <w:t>开标前24小时</w:t>
            </w:r>
            <w:r>
              <w:rPr>
                <w:rFonts w:hint="eastAsia" w:ascii="仿宋" w:hAnsi="仿宋" w:eastAsia="仿宋" w:cs="仿宋"/>
                <w:color w:val="auto"/>
                <w:kern w:val="0"/>
                <w:sz w:val="24"/>
                <w:highlight w:val="none"/>
                <w:lang w:eastAsia="zh-CN"/>
              </w:rPr>
              <w:t>。</w:t>
            </w:r>
          </w:p>
        </w:tc>
      </w:tr>
      <w:tr w14:paraId="30E04631">
        <w:tblPrEx>
          <w:tblCellMar>
            <w:top w:w="0" w:type="dxa"/>
            <w:left w:w="108" w:type="dxa"/>
            <w:bottom w:w="0" w:type="dxa"/>
            <w:right w:w="108" w:type="dxa"/>
          </w:tblCellMar>
        </w:tblPrEx>
        <w:trPr>
          <w:trHeight w:val="1985"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15C8593">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1837" w:type="dxa"/>
            <w:tcBorders>
              <w:top w:val="single" w:color="000000" w:sz="4" w:space="0"/>
              <w:left w:val="nil"/>
              <w:bottom w:val="single" w:color="000000" w:sz="4" w:space="0"/>
              <w:right w:val="single" w:color="000000" w:sz="4" w:space="0"/>
            </w:tcBorders>
            <w:vAlign w:val="center"/>
          </w:tcPr>
          <w:p w14:paraId="2C197161">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确认收到比选文件澄清、修改及答疑的时间</w:t>
            </w:r>
          </w:p>
        </w:tc>
        <w:tc>
          <w:tcPr>
            <w:tcW w:w="6532" w:type="dxa"/>
            <w:tcBorders>
              <w:top w:val="single" w:color="000000" w:sz="4" w:space="0"/>
              <w:left w:val="nil"/>
              <w:bottom w:val="single" w:color="000000" w:sz="4" w:space="0"/>
              <w:right w:val="single" w:color="000000" w:sz="4" w:space="0"/>
            </w:tcBorders>
            <w:vAlign w:val="center"/>
          </w:tcPr>
          <w:p w14:paraId="603D9F09">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在收到相应文件后24小时内</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公告或文件发出</w:t>
            </w:r>
            <w:r>
              <w:rPr>
                <w:rFonts w:hint="eastAsia" w:ascii="仿宋" w:hAnsi="仿宋" w:eastAsia="仿宋" w:cs="仿宋"/>
                <w:color w:val="auto"/>
                <w:kern w:val="0"/>
                <w:sz w:val="24"/>
                <w:szCs w:val="24"/>
                <w:highlight w:val="none"/>
              </w:rPr>
              <w:t>超过24小时视为自动确认收到。</w:t>
            </w:r>
          </w:p>
        </w:tc>
      </w:tr>
      <w:tr w14:paraId="5F547278">
        <w:tblPrEx>
          <w:tblCellMar>
            <w:top w:w="0" w:type="dxa"/>
            <w:left w:w="108" w:type="dxa"/>
            <w:bottom w:w="0" w:type="dxa"/>
            <w:right w:w="108" w:type="dxa"/>
          </w:tblCellMar>
        </w:tblPrEx>
        <w:trPr>
          <w:trHeight w:val="133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654B8B22">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837" w:type="dxa"/>
            <w:tcBorders>
              <w:top w:val="single" w:color="000000" w:sz="4" w:space="0"/>
              <w:left w:val="nil"/>
              <w:bottom w:val="single" w:color="000000" w:sz="4" w:space="0"/>
              <w:right w:val="single" w:color="000000" w:sz="4" w:space="0"/>
            </w:tcBorders>
            <w:vAlign w:val="center"/>
          </w:tcPr>
          <w:p w14:paraId="19E3F442">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参选文件</w:t>
            </w:r>
            <w:r>
              <w:rPr>
                <w:rFonts w:hint="eastAsia" w:ascii="仿宋" w:hAnsi="仿宋" w:eastAsia="仿宋" w:cs="仿宋"/>
                <w:color w:val="auto"/>
                <w:kern w:val="0"/>
                <w:sz w:val="24"/>
                <w:szCs w:val="24"/>
                <w:highlight w:val="none"/>
              </w:rPr>
              <w:t>截止时间及地点</w:t>
            </w:r>
          </w:p>
        </w:tc>
        <w:tc>
          <w:tcPr>
            <w:tcW w:w="6532" w:type="dxa"/>
            <w:tcBorders>
              <w:top w:val="single" w:color="000000" w:sz="4" w:space="0"/>
              <w:left w:val="nil"/>
              <w:bottom w:val="single" w:color="000000" w:sz="4" w:space="0"/>
              <w:right w:val="single" w:color="000000" w:sz="4" w:space="0"/>
            </w:tcBorders>
            <w:vAlign w:val="center"/>
          </w:tcPr>
          <w:p w14:paraId="2256BF04">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14:paraId="17BB33DA">
        <w:tblPrEx>
          <w:tblCellMar>
            <w:top w:w="0" w:type="dxa"/>
            <w:left w:w="108" w:type="dxa"/>
            <w:bottom w:w="0" w:type="dxa"/>
            <w:right w:w="108" w:type="dxa"/>
          </w:tblCellMar>
        </w:tblPrEx>
        <w:trPr>
          <w:trHeight w:val="87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CCB03C4">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837" w:type="dxa"/>
            <w:tcBorders>
              <w:top w:val="single" w:color="000000" w:sz="4" w:space="0"/>
              <w:left w:val="nil"/>
              <w:bottom w:val="single" w:color="000000" w:sz="4" w:space="0"/>
              <w:right w:val="single" w:color="000000" w:sz="4" w:space="0"/>
            </w:tcBorders>
            <w:vAlign w:val="center"/>
          </w:tcPr>
          <w:p w14:paraId="092BB39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532" w:type="dxa"/>
            <w:tcBorders>
              <w:top w:val="single" w:color="000000" w:sz="4" w:space="0"/>
              <w:left w:val="nil"/>
              <w:bottom w:val="single" w:color="000000" w:sz="4" w:space="0"/>
              <w:right w:val="single" w:color="000000" w:sz="4" w:space="0"/>
            </w:tcBorders>
            <w:vAlign w:val="center"/>
          </w:tcPr>
          <w:p w14:paraId="4206726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14:paraId="245B7CDE">
        <w:tblPrEx>
          <w:tblCellMar>
            <w:top w:w="0" w:type="dxa"/>
            <w:left w:w="108" w:type="dxa"/>
            <w:bottom w:w="0" w:type="dxa"/>
            <w:right w:w="108" w:type="dxa"/>
          </w:tblCellMar>
        </w:tblPrEx>
        <w:trPr>
          <w:trHeight w:val="104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E5E170A">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837" w:type="dxa"/>
            <w:tcBorders>
              <w:top w:val="single" w:color="000000" w:sz="4" w:space="0"/>
              <w:left w:val="nil"/>
              <w:bottom w:val="single" w:color="000000" w:sz="4" w:space="0"/>
              <w:right w:val="single" w:color="000000" w:sz="4" w:space="0"/>
            </w:tcBorders>
            <w:vAlign w:val="center"/>
          </w:tcPr>
          <w:p w14:paraId="4EC2315B">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参选文件</w:t>
            </w:r>
          </w:p>
          <w:p w14:paraId="43156959">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份数</w:t>
            </w:r>
          </w:p>
        </w:tc>
        <w:tc>
          <w:tcPr>
            <w:tcW w:w="6532" w:type="dxa"/>
            <w:tcBorders>
              <w:top w:val="single" w:color="000000" w:sz="4" w:space="0"/>
              <w:left w:val="nil"/>
              <w:bottom w:val="single" w:color="000000" w:sz="4" w:space="0"/>
              <w:right w:val="single" w:color="000000" w:sz="4" w:space="0"/>
            </w:tcBorders>
            <w:vAlign w:val="center"/>
          </w:tcPr>
          <w:p w14:paraId="35384133">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正本1份，副本4份。电子文档1份 （电子文件内容为参选文件的扫描件，载体为U盘）。</w:t>
            </w:r>
          </w:p>
        </w:tc>
      </w:tr>
      <w:tr w14:paraId="7911F002">
        <w:tblPrEx>
          <w:tblCellMar>
            <w:top w:w="0" w:type="dxa"/>
            <w:left w:w="108" w:type="dxa"/>
            <w:bottom w:w="0" w:type="dxa"/>
            <w:right w:w="108" w:type="dxa"/>
          </w:tblCellMar>
        </w:tblPrEx>
        <w:trPr>
          <w:trHeight w:val="73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58A64F55">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1837" w:type="dxa"/>
            <w:tcBorders>
              <w:top w:val="single" w:color="000000" w:sz="4" w:space="0"/>
              <w:left w:val="nil"/>
              <w:bottom w:val="single" w:color="000000" w:sz="4" w:space="0"/>
              <w:right w:val="single" w:color="000000" w:sz="4" w:space="0"/>
            </w:tcBorders>
            <w:vAlign w:val="center"/>
          </w:tcPr>
          <w:p w14:paraId="3DCBEDF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比选有效期</w:t>
            </w:r>
          </w:p>
        </w:tc>
        <w:tc>
          <w:tcPr>
            <w:tcW w:w="6532" w:type="dxa"/>
            <w:tcBorders>
              <w:top w:val="single" w:color="000000" w:sz="4" w:space="0"/>
              <w:left w:val="nil"/>
              <w:bottom w:val="single" w:color="000000" w:sz="4" w:space="0"/>
              <w:right w:val="single" w:color="000000" w:sz="4" w:space="0"/>
            </w:tcBorders>
            <w:vAlign w:val="center"/>
          </w:tcPr>
          <w:p w14:paraId="227F2F61">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highlight w:val="none"/>
              </w:rPr>
              <w:t>自</w:t>
            </w:r>
            <w:r>
              <w:rPr>
                <w:rFonts w:hint="eastAsia" w:ascii="仿宋" w:hAnsi="仿宋" w:eastAsia="仿宋" w:cs="仿宋"/>
                <w:color w:val="auto"/>
                <w:kern w:val="0"/>
                <w:sz w:val="24"/>
                <w:highlight w:val="none"/>
                <w:lang w:eastAsia="zh-CN"/>
              </w:rPr>
              <w:t>投标文件</w:t>
            </w:r>
            <w:r>
              <w:rPr>
                <w:rFonts w:hint="eastAsia" w:ascii="仿宋" w:hAnsi="仿宋" w:eastAsia="仿宋" w:cs="仿宋"/>
                <w:color w:val="auto"/>
                <w:kern w:val="0"/>
                <w:sz w:val="24"/>
                <w:highlight w:val="none"/>
              </w:rPr>
              <w:t>递交截止时间之日起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60</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天</w:t>
            </w:r>
          </w:p>
        </w:tc>
      </w:tr>
      <w:tr w14:paraId="13BCD3DA">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58462860">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837" w:type="dxa"/>
            <w:tcBorders>
              <w:top w:val="single" w:color="000000" w:sz="4" w:space="0"/>
              <w:left w:val="nil"/>
              <w:bottom w:val="single" w:color="000000" w:sz="4" w:space="0"/>
              <w:right w:val="single" w:color="000000" w:sz="4" w:space="0"/>
            </w:tcBorders>
            <w:vAlign w:val="center"/>
          </w:tcPr>
          <w:p w14:paraId="424752D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w:t>
            </w:r>
          </w:p>
          <w:p w14:paraId="4E4FFB9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保证金</w:t>
            </w:r>
          </w:p>
        </w:tc>
        <w:tc>
          <w:tcPr>
            <w:tcW w:w="6532" w:type="dxa"/>
            <w:tcBorders>
              <w:top w:val="single" w:color="000000" w:sz="4" w:space="0"/>
              <w:left w:val="nil"/>
              <w:bottom w:val="single" w:color="000000" w:sz="4" w:space="0"/>
              <w:right w:val="single" w:color="000000" w:sz="4" w:space="0"/>
            </w:tcBorders>
            <w:vAlign w:val="center"/>
          </w:tcPr>
          <w:p w14:paraId="250AD5ED">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不要求提交</w:t>
            </w:r>
          </w:p>
          <w:p w14:paraId="6062B31A">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要求提交</w:t>
            </w:r>
          </w:p>
          <w:p w14:paraId="2CDC7103">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投标保证金的形式（投标人可以选择以下方式）：</w:t>
            </w:r>
          </w:p>
          <w:p w14:paraId="476B3920">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投标保证金的金额：</w:t>
            </w:r>
            <w:r>
              <w:rPr>
                <w:rFonts w:hint="eastAsia" w:ascii="仿宋" w:hAnsi="仿宋" w:eastAsia="仿宋" w:cs="仿宋"/>
                <w:color w:val="auto"/>
                <w:kern w:val="0"/>
                <w:sz w:val="24"/>
                <w:szCs w:val="24"/>
                <w:highlight w:val="none"/>
                <w:u w:val="single"/>
                <w:lang w:val="en-US" w:eastAsia="zh-CN"/>
              </w:rPr>
              <w:t xml:space="preserve"> 80000  </w:t>
            </w:r>
            <w:r>
              <w:rPr>
                <w:rFonts w:hint="eastAsia" w:ascii="仿宋" w:hAnsi="仿宋" w:eastAsia="仿宋" w:cs="仿宋"/>
                <w:color w:val="auto"/>
                <w:kern w:val="0"/>
                <w:sz w:val="24"/>
                <w:szCs w:val="24"/>
                <w:highlight w:val="none"/>
                <w:lang w:val="en-US" w:eastAsia="zh-CN"/>
              </w:rPr>
              <w:t>元人民币。</w:t>
            </w:r>
          </w:p>
          <w:p w14:paraId="729144F7">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（1）形式一：现金转账，从投标人单位基本账户转出。</w:t>
            </w:r>
          </w:p>
          <w:p w14:paraId="46FBF118">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收取投标保证金账号：</w:t>
            </w:r>
          </w:p>
          <w:p w14:paraId="1E1C27C7">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开户银行：衡阳公路桥梁建设有限公司常宁分公司              </w:t>
            </w:r>
          </w:p>
          <w:p w14:paraId="36403DC1">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帐户名称：长沙银行股份有限公司常宁支行</w:t>
            </w:r>
          </w:p>
          <w:p w14:paraId="00830B0B">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账    号：8100 0034 6224 0000 01 </w:t>
            </w:r>
          </w:p>
          <w:p w14:paraId="5865E569">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a、请将投标保证金在投标截止时间前（含）转入收取投标保证金的账户，以到账时间为准。</w:t>
            </w:r>
          </w:p>
          <w:p w14:paraId="1D5E13E0">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b、投标保证金退还时一律以银行转账方式退回，不退现金。</w:t>
            </w:r>
          </w:p>
          <w:p w14:paraId="5BB851C2">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（2）形式二：银行保函、担保公司独立保函、保险公司开具的保证保险。</w:t>
            </w:r>
          </w:p>
          <w:p w14:paraId="61E688EB">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函有效期起止时间应能覆盖投标有效期起止时间；投标保函担保的项目名称应与比选的项目名称保持一致；受益人名称应与采购人单位名称保持一致；保函约定的可提出索赔的情形应包含比选文件规定的情形。</w:t>
            </w:r>
          </w:p>
        </w:tc>
      </w:tr>
      <w:tr w14:paraId="710B37DF">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31493E7">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1837" w:type="dxa"/>
            <w:tcBorders>
              <w:top w:val="single" w:color="000000" w:sz="4" w:space="0"/>
              <w:left w:val="nil"/>
              <w:bottom w:val="single" w:color="000000" w:sz="4" w:space="0"/>
              <w:right w:val="single" w:color="000000" w:sz="4" w:space="0"/>
            </w:tcBorders>
            <w:vAlign w:val="center"/>
          </w:tcPr>
          <w:p w14:paraId="058EE744">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532" w:type="dxa"/>
            <w:tcBorders>
              <w:top w:val="single" w:color="000000" w:sz="4" w:space="0"/>
              <w:left w:val="nil"/>
              <w:bottom w:val="single" w:color="000000" w:sz="4" w:space="0"/>
              <w:right w:val="single" w:color="000000" w:sz="4" w:space="0"/>
            </w:tcBorders>
            <w:vAlign w:val="center"/>
          </w:tcPr>
          <w:p w14:paraId="75C68A20">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按合同总价</w:t>
            </w:r>
            <w:r>
              <w:rPr>
                <w:rFonts w:hint="eastAsia" w:ascii="仿宋" w:hAnsi="仿宋" w:eastAsia="仿宋" w:cs="仿宋"/>
                <w:color w:val="auto"/>
                <w:kern w:val="0"/>
                <w:sz w:val="24"/>
                <w:szCs w:val="24"/>
                <w:highlight w:val="none"/>
                <w:u w:val="single"/>
                <w:lang w:val="en-US" w:eastAsia="zh-CN"/>
              </w:rPr>
              <w:t xml:space="preserve"> / </w:t>
            </w:r>
            <w:r>
              <w:rPr>
                <w:rFonts w:hint="eastAsia" w:ascii="仿宋" w:hAnsi="仿宋" w:eastAsia="仿宋" w:cs="仿宋"/>
                <w:color w:val="auto"/>
                <w:kern w:val="0"/>
                <w:sz w:val="24"/>
                <w:szCs w:val="24"/>
                <w:highlight w:val="none"/>
                <w:lang w:val="en-US" w:eastAsia="zh-CN"/>
              </w:rPr>
              <w:t>缴纳，履约保证金采用现金或银行保函。</w:t>
            </w:r>
          </w:p>
        </w:tc>
      </w:tr>
      <w:tr w14:paraId="27BB9A79">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2A1E52F">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1837" w:type="dxa"/>
            <w:tcBorders>
              <w:top w:val="single" w:color="000000" w:sz="4" w:space="0"/>
              <w:left w:val="nil"/>
              <w:bottom w:val="single" w:color="000000" w:sz="4" w:space="0"/>
              <w:right w:val="single" w:color="000000" w:sz="4" w:space="0"/>
            </w:tcBorders>
            <w:vAlign w:val="center"/>
          </w:tcPr>
          <w:p w14:paraId="216FF4A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评标办法</w:t>
            </w:r>
          </w:p>
        </w:tc>
        <w:tc>
          <w:tcPr>
            <w:tcW w:w="6532" w:type="dxa"/>
            <w:tcBorders>
              <w:top w:val="single" w:color="000000" w:sz="4" w:space="0"/>
              <w:left w:val="nil"/>
              <w:bottom w:val="single" w:color="000000" w:sz="4" w:space="0"/>
              <w:right w:val="single" w:color="000000" w:sz="4" w:space="0"/>
            </w:tcBorders>
            <w:vAlign w:val="center"/>
          </w:tcPr>
          <w:p w14:paraId="6D30FAC3">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u w:val="none"/>
                <w:lang w:val="en-US" w:eastAsia="zh-CN"/>
              </w:rPr>
              <w:t>最低投标价法</w:t>
            </w:r>
          </w:p>
        </w:tc>
      </w:tr>
      <w:tr w14:paraId="392E83A1">
        <w:tblPrEx>
          <w:tblCellMar>
            <w:top w:w="0" w:type="dxa"/>
            <w:left w:w="108" w:type="dxa"/>
            <w:bottom w:w="0" w:type="dxa"/>
            <w:right w:w="108" w:type="dxa"/>
          </w:tblCellMar>
        </w:tblPrEx>
        <w:trPr>
          <w:trHeight w:val="820"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5CC7F8B">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1837" w:type="dxa"/>
            <w:tcBorders>
              <w:top w:val="single" w:color="000000" w:sz="4" w:space="0"/>
              <w:left w:val="nil"/>
              <w:bottom w:val="single" w:color="000000" w:sz="4" w:space="0"/>
              <w:right w:val="single" w:color="000000" w:sz="4" w:space="0"/>
            </w:tcBorders>
            <w:vAlign w:val="center"/>
          </w:tcPr>
          <w:p w14:paraId="4C32BD1C">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w:t>
            </w:r>
          </w:p>
          <w:p w14:paraId="409650D7">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限价</w:t>
            </w:r>
          </w:p>
        </w:tc>
        <w:tc>
          <w:tcPr>
            <w:tcW w:w="6532" w:type="dxa"/>
            <w:tcBorders>
              <w:top w:val="single" w:color="000000" w:sz="4" w:space="0"/>
              <w:left w:val="nil"/>
              <w:bottom w:val="single" w:color="000000" w:sz="4" w:space="0"/>
              <w:right w:val="single" w:color="000000" w:sz="4" w:space="0"/>
            </w:tcBorders>
            <w:vAlign w:val="center"/>
          </w:tcPr>
          <w:p w14:paraId="05BC8E18">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最高投标限价为</w:t>
            </w:r>
            <w:r>
              <w:rPr>
                <w:rFonts w:hint="eastAsia" w:ascii="仿宋" w:hAnsi="仿宋" w:eastAsia="仿宋" w:cs="仿宋"/>
                <w:color w:val="auto"/>
                <w:kern w:val="0"/>
                <w:sz w:val="24"/>
                <w:szCs w:val="24"/>
                <w:highlight w:val="none"/>
                <w:u w:val="single"/>
                <w:lang w:val="en-US" w:eastAsia="zh-CN"/>
              </w:rPr>
              <w:t xml:space="preserve"> </w:t>
            </w:r>
            <w:r>
              <w:rPr>
                <w:rFonts w:hint="eastAsia" w:ascii="宋体" w:hAnsi="宋体" w:cs="宋体"/>
                <w:color w:val="auto"/>
                <w:sz w:val="28"/>
                <w:szCs w:val="28"/>
                <w:highlight w:val="none"/>
                <w:u w:val="single"/>
                <w:lang w:val="en-US" w:eastAsia="zh-CN"/>
              </w:rPr>
              <w:t>4467600</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lang w:val="en-US" w:eastAsia="zh-CN"/>
              </w:rPr>
              <w:t xml:space="preserve">元。       </w:t>
            </w:r>
          </w:p>
        </w:tc>
      </w:tr>
      <w:tr w14:paraId="14FFCDA1">
        <w:tblPrEx>
          <w:tblCellMar>
            <w:top w:w="0" w:type="dxa"/>
            <w:left w:w="108" w:type="dxa"/>
            <w:bottom w:w="0" w:type="dxa"/>
            <w:right w:w="108" w:type="dxa"/>
          </w:tblCellMar>
        </w:tblPrEx>
        <w:trPr>
          <w:trHeight w:val="76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71826C7">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837" w:type="dxa"/>
            <w:tcBorders>
              <w:top w:val="single" w:color="000000" w:sz="4" w:space="0"/>
              <w:left w:val="nil"/>
              <w:bottom w:val="single" w:color="000000" w:sz="4" w:space="0"/>
              <w:right w:val="single" w:color="000000" w:sz="4" w:space="0"/>
            </w:tcBorders>
            <w:vAlign w:val="center"/>
          </w:tcPr>
          <w:p w14:paraId="07918D0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评标小组    </w:t>
            </w:r>
            <w:r>
              <w:rPr>
                <w:rFonts w:hint="eastAsia" w:ascii="仿宋" w:hAnsi="仿宋" w:eastAsia="仿宋" w:cs="仿宋"/>
                <w:color w:val="auto"/>
                <w:kern w:val="0"/>
                <w:sz w:val="24"/>
                <w:szCs w:val="24"/>
                <w:highlight w:val="none"/>
              </w:rPr>
              <w:t>的组建</w:t>
            </w:r>
          </w:p>
        </w:tc>
        <w:tc>
          <w:tcPr>
            <w:tcW w:w="6532" w:type="dxa"/>
            <w:tcBorders>
              <w:top w:val="single" w:color="000000" w:sz="4" w:space="0"/>
              <w:left w:val="nil"/>
              <w:bottom w:val="single" w:color="000000" w:sz="4" w:space="0"/>
              <w:right w:val="single" w:color="000000" w:sz="4" w:space="0"/>
            </w:tcBorders>
            <w:vAlign w:val="center"/>
          </w:tcPr>
          <w:p w14:paraId="56109F56">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由招标人负责组建。</w:t>
            </w:r>
          </w:p>
        </w:tc>
      </w:tr>
      <w:tr w14:paraId="766F72F6">
        <w:tblPrEx>
          <w:tblCellMar>
            <w:top w:w="0" w:type="dxa"/>
            <w:left w:w="108" w:type="dxa"/>
            <w:bottom w:w="0" w:type="dxa"/>
            <w:right w:w="108" w:type="dxa"/>
          </w:tblCellMar>
        </w:tblPrEx>
        <w:trPr>
          <w:trHeight w:val="12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0A5B">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1837" w:type="dxa"/>
            <w:tcBorders>
              <w:top w:val="single" w:color="000000" w:sz="4" w:space="0"/>
              <w:left w:val="nil"/>
              <w:bottom w:val="single" w:color="000000" w:sz="4" w:space="0"/>
              <w:right w:val="single" w:color="000000" w:sz="4" w:space="0"/>
            </w:tcBorders>
            <w:shd w:val="clear" w:color="auto" w:fill="auto"/>
            <w:vAlign w:val="center"/>
          </w:tcPr>
          <w:p w14:paraId="262ECE53">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公示</w:t>
            </w:r>
          </w:p>
        </w:tc>
        <w:tc>
          <w:tcPr>
            <w:tcW w:w="6532" w:type="dxa"/>
            <w:tcBorders>
              <w:top w:val="single" w:color="000000" w:sz="4" w:space="0"/>
              <w:left w:val="nil"/>
              <w:bottom w:val="single" w:color="000000" w:sz="4" w:space="0"/>
              <w:right w:val="single" w:color="000000" w:sz="4" w:space="0"/>
            </w:tcBorders>
            <w:shd w:val="clear" w:color="auto" w:fill="auto"/>
            <w:vAlign w:val="center"/>
          </w:tcPr>
          <w:p w14:paraId="0A35F69C">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招标人</w:t>
            </w:r>
            <w:r>
              <w:rPr>
                <w:rFonts w:hint="eastAsia" w:ascii="仿宋" w:hAnsi="仿宋" w:eastAsia="仿宋" w:cs="仿宋"/>
                <w:color w:val="auto"/>
                <w:kern w:val="0"/>
                <w:sz w:val="24"/>
                <w:szCs w:val="24"/>
                <w:highlight w:val="none"/>
              </w:rPr>
              <w:t>将中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候选人的情况在</w:t>
            </w:r>
            <w:r>
              <w:rPr>
                <w:rFonts w:hint="eastAsia" w:ascii="仿宋" w:hAnsi="仿宋" w:eastAsia="仿宋" w:cs="仿宋"/>
                <w:color w:val="auto"/>
                <w:kern w:val="0"/>
                <w:sz w:val="24"/>
                <w:szCs w:val="24"/>
                <w:highlight w:val="none"/>
                <w:lang w:val="en-US" w:eastAsia="zh-CN"/>
              </w:rPr>
              <w:t>衡阳市国有资产投资控股集团有限公司官方网（www.hxamc.com）及衡阳公路桥梁建设有限公司官方网</w:t>
            </w:r>
            <w:r>
              <w:rPr>
                <w:rFonts w:hint="eastAsia" w:ascii="仿宋" w:hAnsi="仿宋" w:eastAsia="仿宋" w:cs="仿宋"/>
                <w:color w:val="auto"/>
                <w:kern w:val="0"/>
                <w:sz w:val="24"/>
                <w:szCs w:val="24"/>
                <w:highlight w:val="none"/>
              </w:rPr>
              <w:t>站（www.</w:t>
            </w:r>
            <w:r>
              <w:rPr>
                <w:rFonts w:hint="eastAsia" w:ascii="仿宋" w:hAnsi="仿宋" w:eastAsia="仿宋" w:cs="仿宋"/>
                <w:color w:val="auto"/>
                <w:kern w:val="0"/>
                <w:sz w:val="24"/>
                <w:szCs w:val="24"/>
                <w:highlight w:val="none"/>
                <w:lang w:val="en-US" w:eastAsia="zh-CN"/>
              </w:rPr>
              <w:t>hylqgs</w:t>
            </w:r>
            <w:r>
              <w:rPr>
                <w:rFonts w:hint="eastAsia" w:ascii="仿宋" w:hAnsi="仿宋" w:eastAsia="仿宋" w:cs="仿宋"/>
                <w:color w:val="auto"/>
                <w:kern w:val="0"/>
                <w:sz w:val="24"/>
                <w:szCs w:val="24"/>
                <w:highlight w:val="none"/>
              </w:rPr>
              <w:t>.com）予以公示。</w:t>
            </w:r>
          </w:p>
        </w:tc>
      </w:tr>
    </w:tbl>
    <w:p w14:paraId="57C3CCE1">
      <w:pPr>
        <w:widowControl/>
        <w:numPr>
          <w:ilvl w:val="0"/>
          <w:numId w:val="0"/>
        </w:numPr>
        <w:spacing w:line="480" w:lineRule="exact"/>
        <w:ind w:firstLine="703" w:firstLineChars="200"/>
        <w:jc w:val="left"/>
        <w:outlineLvl w:val="9"/>
        <w:rPr>
          <w:rFonts w:hint="eastAsia" w:ascii="黑体" w:hAnsi="黑体" w:eastAsia="黑体" w:cs="黑体"/>
          <w:b/>
          <w:color w:val="auto"/>
          <w:spacing w:val="15"/>
          <w:kern w:val="0"/>
          <w:sz w:val="32"/>
          <w:szCs w:val="32"/>
          <w:highlight w:val="none"/>
        </w:rPr>
      </w:pPr>
      <w:r>
        <w:rPr>
          <w:rFonts w:hint="eastAsia" w:ascii="黑体" w:hAnsi="黑体" w:eastAsia="黑体" w:cs="黑体"/>
          <w:b/>
          <w:color w:val="auto"/>
          <w:spacing w:val="15"/>
          <w:kern w:val="0"/>
          <w:sz w:val="32"/>
          <w:szCs w:val="32"/>
          <w:highlight w:val="none"/>
          <w:lang w:val="en-US" w:eastAsia="zh-CN"/>
        </w:rPr>
        <w:t>一、</w:t>
      </w:r>
      <w:r>
        <w:rPr>
          <w:rFonts w:hint="eastAsia" w:ascii="黑体" w:hAnsi="黑体" w:eastAsia="黑体" w:cs="黑体"/>
          <w:b/>
          <w:color w:val="auto"/>
          <w:spacing w:val="15"/>
          <w:kern w:val="0"/>
          <w:sz w:val="32"/>
          <w:szCs w:val="32"/>
          <w:highlight w:val="none"/>
        </w:rPr>
        <w:t>比选保密，违者应对由此造成的后果承担法律责任。</w:t>
      </w:r>
    </w:p>
    <w:p w14:paraId="492DB845">
      <w:pPr>
        <w:widowControl/>
        <w:spacing w:line="480" w:lineRule="exact"/>
        <w:ind w:firstLine="560" w:firstLineChars="200"/>
        <w:jc w:val="left"/>
        <w:outlineLvl w:val="9"/>
        <w:rPr>
          <w:rFonts w:hint="eastAsia" w:ascii="仿宋" w:hAnsi="仿宋" w:eastAsia="仿宋"/>
          <w:color w:val="auto"/>
          <w:spacing w:val="15"/>
          <w:kern w:val="0"/>
          <w:sz w:val="28"/>
          <w:szCs w:val="28"/>
          <w:highlight w:val="none"/>
        </w:rPr>
      </w:pPr>
      <w:r>
        <w:rPr>
          <w:rFonts w:hint="eastAsia" w:ascii="仿宋" w:hAnsi="仿宋" w:eastAsia="仿宋" w:cs="仿宋"/>
          <w:color w:val="auto"/>
          <w:sz w:val="28"/>
          <w:szCs w:val="28"/>
          <w:highlight w:val="none"/>
        </w:rPr>
        <w:t>当事人一方对在订立和履行合同过程中知悉的另一方的商业秘密、技术秘密负有保密责</w:t>
      </w:r>
      <w:r>
        <w:rPr>
          <w:rFonts w:hint="eastAsia" w:ascii="仿宋" w:hAnsi="仿宋" w:eastAsia="仿宋" w:cs="仿宋"/>
          <w:color w:val="auto"/>
          <w:kern w:val="0"/>
          <w:sz w:val="28"/>
          <w:szCs w:val="28"/>
          <w:highlight w:val="none"/>
        </w:rPr>
        <w:t>任，未经同意，不得对外泄露或用于本合同以外的目的。一方泄露或者在本合同以外使用该商业秘密、技术秘密给另一方造成损失的，承担损害赔</w:t>
      </w:r>
      <w:r>
        <w:rPr>
          <w:rFonts w:hint="eastAsia" w:ascii="仿宋" w:hAnsi="仿宋" w:eastAsia="仿宋" w:cs="仿宋"/>
          <w:color w:val="auto"/>
          <w:sz w:val="28"/>
          <w:szCs w:val="28"/>
          <w:highlight w:val="none"/>
        </w:rPr>
        <w:t>偿责任。当事人为履行合同所需要的信息，另一方须予以提供。当事人认为必要时，可签订保密协议</w:t>
      </w:r>
      <w:r>
        <w:rPr>
          <w:rFonts w:hint="eastAsia" w:ascii="仿宋" w:hAnsi="仿宋" w:eastAsia="仿宋"/>
          <w:color w:val="auto"/>
          <w:spacing w:val="15"/>
          <w:kern w:val="0"/>
          <w:sz w:val="28"/>
          <w:szCs w:val="28"/>
          <w:highlight w:val="none"/>
        </w:rPr>
        <w:t>，作为合同附件。</w:t>
      </w:r>
    </w:p>
    <w:p w14:paraId="32399D7D">
      <w:pPr>
        <w:keepNext w:val="0"/>
        <w:keepLines w:val="0"/>
        <w:pageBreakBefore w:val="0"/>
        <w:widowControl/>
        <w:kinsoku/>
        <w:wordWrap/>
        <w:overflowPunct/>
        <w:topLinePunct w:val="0"/>
        <w:autoSpaceDE/>
        <w:autoSpaceDN/>
        <w:bidi w:val="0"/>
        <w:spacing w:line="480" w:lineRule="exact"/>
        <w:ind w:firstLine="703" w:firstLineChars="200"/>
        <w:jc w:val="left"/>
        <w:outlineLvl w:val="9"/>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二、</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14:paraId="4BC702F7">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1.参选人应仔细阅读比选文件中的所有内容，按照比选文件及要求，详细编制参选文件，并保证参选文件的正确性和真实性。</w:t>
      </w:r>
    </w:p>
    <w:p w14:paraId="030B544D">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2.参选人获取比选文件后，应仔细检查比选文件中的所有内容，如有残缺等问题，应及时向招标人提出，否则，由此引起的费用由参选人自行承担。</w:t>
      </w:r>
    </w:p>
    <w:p w14:paraId="55ABACBF">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3.不按比选文件要求提供的参选文件将被拒绝。</w:t>
      </w:r>
    </w:p>
    <w:p w14:paraId="38C9F36E">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参选人如对该比选文件有疑问，应在参选人须知前附表规定的时间以书面形式递交至招标人。招标人对参选人的答疑，都将以官网发布答疑澄清公告的形式通知所有参选人，答疑澄清公告内容视为比选文件的组成部分。</w:t>
      </w:r>
    </w:p>
    <w:p w14:paraId="7B0B51F5">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比选公告发出后，在提交参选文件截止时间前，招标人可对比选文件进行补充和修改，补充和修改内容都将以发布公告形式通知所有参选人，补充和修改文件视为该比选文件的组成部分。为使参选人在编制参选文件时，有充分的时间对比选文件的补充或修改内容进行研究，招标人可酌情延长递交参选文件的截止时间，具体时间将在补充、修改通知中进行明确。</w:t>
      </w:r>
    </w:p>
    <w:p w14:paraId="05495ECE">
      <w:pPr>
        <w:widowControl/>
        <w:spacing w:line="480" w:lineRule="exact"/>
        <w:ind w:firstLine="643"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黑体" w:hAnsi="黑体" w:eastAsia="黑体" w:cs="黑体"/>
          <w:b/>
          <w:bCs/>
          <w:color w:val="auto"/>
          <w:sz w:val="32"/>
          <w:szCs w:val="32"/>
          <w:highlight w:val="none"/>
          <w:lang w:val="en-US" w:eastAsia="zh-CN"/>
        </w:rPr>
        <w:t>三、</w:t>
      </w:r>
      <w:r>
        <w:rPr>
          <w:rFonts w:hint="eastAsia" w:ascii="黑体" w:hAnsi="黑体" w:eastAsia="黑体" w:cs="黑体"/>
          <w:b/>
          <w:bCs/>
          <w:color w:val="auto"/>
          <w:sz w:val="32"/>
          <w:szCs w:val="32"/>
          <w:highlight w:val="none"/>
        </w:rPr>
        <w:t>投标保证金</w:t>
      </w:r>
    </w:p>
    <w:p w14:paraId="1BCACBDE">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有下列情形之一的，投标保证金可不予退还，招标人有权向出具保函的银行或担保公司提出索赔：</w:t>
      </w:r>
    </w:p>
    <w:p w14:paraId="669B05A4">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14:paraId="1E411EB8">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14:paraId="10F11A16">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14:paraId="006D0522">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（4）确定中选结果后，无正当理由放弃中选资格的；</w:t>
      </w:r>
    </w:p>
    <w:p w14:paraId="20F21C8A">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（5）投标人在投标截止后撤销投标文件的；</w:t>
      </w:r>
    </w:p>
    <w:p w14:paraId="0672A8B9">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b w:val="0"/>
          <w:bCs w:val="0"/>
          <w:color w:val="auto"/>
          <w:spacing w:val="0"/>
          <w:kern w:val="2"/>
          <w:position w:val="0"/>
          <w:sz w:val="28"/>
          <w:szCs w:val="28"/>
          <w:highlight w:val="none"/>
          <w:lang w:val="en-US" w:eastAsia="zh-CN" w:bidi="ar-SA"/>
        </w:rPr>
        <w:t>（6）比选文件规定的其他情形。</w:t>
      </w:r>
    </w:p>
    <w:p w14:paraId="54E624D7">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四、重新比选</w:t>
      </w:r>
    </w:p>
    <w:p w14:paraId="3B44C5B3">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有下列情形之一的</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 xml:space="preserve">应当重新比选：  </w:t>
      </w:r>
    </w:p>
    <w:p w14:paraId="430E57FB">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.在开标截止时间前提交参选文件的参选人少于三个的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14:paraId="15384171">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.所有参选均被否决的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14:paraId="526494F2">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否决不合格参选后，因有效参选不足三个使得比选明显缺乏竞争，</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决定否决全部参选的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14:paraId="1D6F63CD">
      <w:pPr>
        <w:keepNext w:val="0"/>
        <w:keepLines w:val="0"/>
        <w:pageBreakBefore w:val="0"/>
        <w:widowControl/>
        <w:kinsoku/>
        <w:wordWrap/>
        <w:overflowPunct/>
        <w:topLinePunct w:val="0"/>
        <w:autoSpaceDE/>
        <w:autoSpaceDN/>
        <w:bidi w:val="0"/>
        <w:spacing w:line="480" w:lineRule="exact"/>
        <w:ind w:firstLine="620" w:firstLineChars="200"/>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重新比选后，再次发生上述情形之一的，</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可自行决定不再进行比选。</w:t>
      </w:r>
    </w:p>
    <w:p w14:paraId="544C1107">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五、违规情形</w:t>
      </w:r>
    </w:p>
    <w:p w14:paraId="59219F1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（一）有下列情形之一的，属于参选人相互串通投标：</w:t>
      </w:r>
    </w:p>
    <w:p w14:paraId="64B0D73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1.参选人之间协商投标报价等参选文件的实质性内容；</w:t>
      </w:r>
    </w:p>
    <w:p w14:paraId="1AAE91F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2.参选人之间约定中选人;</w:t>
      </w:r>
    </w:p>
    <w:p w14:paraId="320D0A4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3.参选人之间约定部分参选人放弃投标或者中选;</w:t>
      </w:r>
    </w:p>
    <w:p w14:paraId="2EC8CD2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4.属于同一集团、协会、商会等组织成员的参选人按照该组织要求协同投标:</w:t>
      </w:r>
    </w:p>
    <w:p w14:paraId="7EFFEBF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5.参选人之间为谋取中选或者排斥特定参选人而采取的其他联合行动。</w:t>
      </w:r>
    </w:p>
    <w:p w14:paraId="290A6C7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（二）有下列情形之一的，视为参选人相互串通投标：</w:t>
      </w:r>
    </w:p>
    <w:p w14:paraId="2B4DFA7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1.不同参选人的参选文件由同一单位或者个人编制；</w:t>
      </w:r>
    </w:p>
    <w:p w14:paraId="3CD7A7A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2.不同参选人委托同一单位或者个人办理投标事宜;</w:t>
      </w:r>
    </w:p>
    <w:p w14:paraId="7CB1610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3.不同参选人的参选文件载明的项目管理成员为同一人;</w:t>
      </w:r>
    </w:p>
    <w:p w14:paraId="16FDDFB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4.不同参选人的参选文件异常一致或者投标报价呈规律性差异:</w:t>
      </w:r>
    </w:p>
    <w:p w14:paraId="37AD272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5.不同参选人的参选文件相互混装。</w:t>
      </w:r>
    </w:p>
    <w:p w14:paraId="6491376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6.不同参选人的投标保证金从同一单位或者个人的账户转出。</w:t>
      </w:r>
    </w:p>
    <w:p w14:paraId="10583A7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（三）有下列情形之一的，属于招标人与参选人串通投标：</w:t>
      </w:r>
    </w:p>
    <w:p w14:paraId="66DE5FB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1.招标人在开标前开启参选文件并将有关信息泄露给其他参选人；</w:t>
      </w:r>
    </w:p>
    <w:p w14:paraId="64FBCC7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2.招标人直接或者间接向参选人泄露标底、评标委员会成员等信息;</w:t>
      </w:r>
    </w:p>
    <w:p w14:paraId="573B8CA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3.招标人明示或者暗示参选人压低或者抬高投标报价;</w:t>
      </w:r>
    </w:p>
    <w:p w14:paraId="5DD03A5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4.招标人授意参选人撤换、修改参选文件；</w:t>
      </w:r>
    </w:p>
    <w:p w14:paraId="0394728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5.招标人明示或者暗示参选人为特定参选人中选提供方便;</w:t>
      </w:r>
    </w:p>
    <w:p w14:paraId="34E14B3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6.招标人与参选人为谋求特定参选人中选而采取的其他串通行为。</w:t>
      </w:r>
    </w:p>
    <w:p w14:paraId="626FA9D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（四）使用通过受让或者租借等方式获取的资格、资质证书投标的，属于以他人名义投标。</w:t>
      </w:r>
    </w:p>
    <w:p w14:paraId="4BEB81A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（五）参选人有下列情形之一的，属于弄虚作假的行为： </w:t>
      </w:r>
    </w:p>
    <w:p w14:paraId="4FC380D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14:paraId="35B1CD65">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14:paraId="6B76207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14:paraId="46E233B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14:paraId="57A3C7B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14:paraId="7E9900A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w:t>
      </w:r>
      <w:r>
        <w:rPr>
          <w:rFonts w:hint="eastAsia" w:ascii="仿宋" w:hAnsi="仿宋" w:eastAsia="仿宋" w:cs="仿宋"/>
          <w:b w:val="0"/>
          <w:bCs w:val="0"/>
          <w:color w:val="auto"/>
          <w:spacing w:val="0"/>
          <w:kern w:val="2"/>
          <w:position w:val="0"/>
          <w:sz w:val="28"/>
          <w:szCs w:val="28"/>
          <w:highlight w:val="none"/>
          <w:lang w:val="en-US" w:eastAsia="zh-CN" w:bidi="ar-SA"/>
        </w:rPr>
        <w:t>投标保证金不予退还</w:t>
      </w:r>
      <w:r>
        <w:rPr>
          <w:rFonts w:hint="eastAsia" w:ascii="仿宋" w:hAnsi="仿宋" w:eastAsia="仿宋" w:cs="仿宋"/>
          <w:color w:val="auto"/>
          <w:spacing w:val="15"/>
          <w:kern w:val="0"/>
          <w:sz w:val="28"/>
          <w:szCs w:val="28"/>
          <w:highlight w:val="none"/>
          <w:lang w:val="en-US" w:eastAsia="zh-CN"/>
        </w:rPr>
        <w:t>，其参选无效，并将违规单位打入衡阳路桥黑名单，禁止其</w:t>
      </w:r>
      <w:r>
        <w:rPr>
          <w:rFonts w:hint="eastAsia" w:ascii="仿宋" w:hAnsi="仿宋" w:eastAsia="仿宋" w:cs="仿宋"/>
          <w:color w:val="auto"/>
          <w:spacing w:val="15"/>
          <w:kern w:val="0"/>
          <w:sz w:val="28"/>
          <w:szCs w:val="28"/>
          <w:highlight w:val="none"/>
          <w:u w:val="single"/>
          <w:lang w:val="en-US" w:eastAsia="zh-CN"/>
        </w:rPr>
        <w:t>3</w:t>
      </w:r>
      <w:r>
        <w:rPr>
          <w:rFonts w:hint="eastAsia" w:ascii="仿宋" w:hAnsi="仿宋" w:eastAsia="仿宋" w:cs="仿宋"/>
          <w:color w:val="auto"/>
          <w:spacing w:val="15"/>
          <w:kern w:val="0"/>
          <w:sz w:val="28"/>
          <w:szCs w:val="28"/>
          <w:highlight w:val="none"/>
          <w:lang w:val="en-US" w:eastAsia="zh-CN"/>
        </w:rPr>
        <w:t>年内参与衡阳路桥内部招采活动。</w:t>
      </w:r>
    </w:p>
    <w:p w14:paraId="2BB8C9D3">
      <w:pPr>
        <w:keepNext w:val="0"/>
        <w:keepLines w:val="0"/>
        <w:pageBreakBefore w:val="0"/>
        <w:widowControl/>
        <w:kinsoku/>
        <w:wordWrap/>
        <w:overflowPunct/>
        <w:topLinePunct w:val="0"/>
        <w:autoSpaceDE/>
        <w:autoSpaceDN/>
        <w:bidi w:val="0"/>
        <w:spacing w:line="480" w:lineRule="exact"/>
        <w:ind w:firstLine="620" w:firstLineChars="200"/>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其他未尽事宜可参照招投标相关规定酌情处理。</w:t>
      </w:r>
    </w:p>
    <w:p w14:paraId="3C7D2DB5">
      <w:pPr>
        <w:keepNext w:val="0"/>
        <w:keepLines w:val="0"/>
        <w:pageBreakBefore w:val="0"/>
        <w:widowControl/>
        <w:kinsoku/>
        <w:wordWrap/>
        <w:overflowPunct/>
        <w:topLinePunct w:val="0"/>
        <w:autoSpaceDE/>
        <w:autoSpaceDN/>
        <w:bidi w:val="0"/>
        <w:spacing w:line="480" w:lineRule="exact"/>
        <w:outlineLvl w:val="9"/>
        <w:rPr>
          <w:rFonts w:hint="eastAsia" w:ascii="黑体" w:hAnsi="黑体" w:eastAsia="黑体" w:cs="黑体"/>
          <w:b/>
          <w:bCs/>
          <w:color w:val="auto"/>
          <w:kern w:val="0"/>
          <w:sz w:val="32"/>
          <w:szCs w:val="32"/>
          <w:highlight w:val="none"/>
          <w:lang w:val="en-US" w:eastAsia="zh-CN"/>
        </w:rPr>
      </w:pPr>
    </w:p>
    <w:p w14:paraId="4D0AFEFF">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62FB91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226363B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020DC5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3004E1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75354F5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9C64BE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8E63CF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324235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E4DDB9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90D1F9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77CCF6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17F13E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22EF51B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AFD7CB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ED82623">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B89C6C0">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7F20C6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t>第三章  参选文件要求</w:t>
      </w:r>
    </w:p>
    <w:p w14:paraId="1E4BA526">
      <w:pPr>
        <w:keepNext w:val="0"/>
        <w:keepLines w:val="0"/>
        <w:pageBreakBefore w:val="0"/>
        <w:widowControl/>
        <w:kinsoku/>
        <w:wordWrap/>
        <w:overflowPunct/>
        <w:topLinePunct w:val="0"/>
        <w:autoSpaceDE/>
        <w:autoSpaceDN/>
        <w:bidi w:val="0"/>
        <w:spacing w:line="480" w:lineRule="exact"/>
        <w:jc w:val="both"/>
        <w:outlineLvl w:val="9"/>
        <w:rPr>
          <w:rFonts w:hint="eastAsia" w:ascii="仿宋" w:hAnsi="仿宋" w:eastAsia="仿宋"/>
          <w:color w:val="auto"/>
          <w:spacing w:val="15"/>
          <w:kern w:val="0"/>
          <w:sz w:val="28"/>
          <w:szCs w:val="28"/>
          <w:highlight w:val="none"/>
          <w:lang w:val="en-US" w:eastAsia="zh-CN"/>
        </w:rPr>
      </w:pPr>
    </w:p>
    <w:p w14:paraId="65E43DB7">
      <w:pPr>
        <w:widowControl/>
        <w:spacing w:line="480" w:lineRule="exact"/>
        <w:ind w:firstLine="643" w:firstLineChars="200"/>
        <w:jc w:val="left"/>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一、参选文件</w:t>
      </w:r>
      <w:r>
        <w:rPr>
          <w:rFonts w:hint="eastAsia" w:ascii="黑体" w:hAnsi="黑体" w:eastAsia="黑体" w:cs="黑体"/>
          <w:b/>
          <w:bCs/>
          <w:color w:val="auto"/>
          <w:sz w:val="32"/>
          <w:szCs w:val="32"/>
          <w:highlight w:val="none"/>
        </w:rPr>
        <w:t>编制主要内容及格式</w:t>
      </w:r>
    </w:p>
    <w:p w14:paraId="0DAC705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比选函（按附件1格式）</w:t>
      </w:r>
    </w:p>
    <w:p w14:paraId="382A7DF2">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承诺函（按附件2格式）</w:t>
      </w:r>
    </w:p>
    <w:p w14:paraId="2FDABF1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法定代表人身份证明</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按附件3格式</w:t>
      </w:r>
      <w:r>
        <w:rPr>
          <w:rFonts w:hint="eastAsia" w:ascii="仿宋" w:hAnsi="仿宋" w:eastAsia="仿宋"/>
          <w:color w:val="auto"/>
          <w:spacing w:val="15"/>
          <w:kern w:val="0"/>
          <w:sz w:val="28"/>
          <w:szCs w:val="28"/>
          <w:highlight w:val="none"/>
          <w:lang w:eastAsia="zh-CN"/>
        </w:rPr>
        <w:t>）</w:t>
      </w:r>
    </w:p>
    <w:p w14:paraId="7398270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法定代表人授权委托书（按附件</w:t>
      </w: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格式）</w:t>
      </w:r>
    </w:p>
    <w:p w14:paraId="15057C4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5.参选人</w:t>
      </w:r>
      <w:r>
        <w:rPr>
          <w:rFonts w:hint="eastAsia" w:ascii="仿宋" w:hAnsi="仿宋" w:eastAsia="仿宋"/>
          <w:color w:val="auto"/>
          <w:spacing w:val="15"/>
          <w:kern w:val="0"/>
          <w:sz w:val="28"/>
          <w:szCs w:val="28"/>
          <w:highlight w:val="none"/>
        </w:rPr>
        <w:t>基本情况</w:t>
      </w:r>
      <w:r>
        <w:rPr>
          <w:rFonts w:hint="eastAsia" w:ascii="仿宋" w:hAnsi="仿宋" w:eastAsia="仿宋"/>
          <w:color w:val="auto"/>
          <w:spacing w:val="15"/>
          <w:kern w:val="0"/>
          <w:sz w:val="28"/>
          <w:szCs w:val="28"/>
          <w:highlight w:val="none"/>
          <w:lang w:val="en-US" w:eastAsia="zh-CN"/>
        </w:rPr>
        <w:t>表</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rPr>
        <w:t>格式</w:t>
      </w:r>
      <w:r>
        <w:rPr>
          <w:rFonts w:hint="eastAsia" w:ascii="仿宋" w:hAnsi="仿宋" w:eastAsia="仿宋"/>
          <w:color w:val="auto"/>
          <w:spacing w:val="15"/>
          <w:kern w:val="0"/>
          <w:sz w:val="28"/>
          <w:szCs w:val="28"/>
          <w:highlight w:val="none"/>
          <w:lang w:eastAsia="zh-CN"/>
        </w:rPr>
        <w:t>）</w:t>
      </w:r>
    </w:p>
    <w:p w14:paraId="4A4B472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6.资格条件（符合参选人须知前附表7</w:t>
      </w:r>
      <w:r>
        <w:rPr>
          <w:rFonts w:hint="eastAsia" w:ascii="仿宋" w:hAnsi="仿宋" w:eastAsia="仿宋"/>
          <w:color w:val="auto"/>
          <w:spacing w:val="15"/>
          <w:kern w:val="0"/>
          <w:sz w:val="28"/>
          <w:szCs w:val="28"/>
          <w:highlight w:val="none"/>
          <w:lang w:val="en-US" w:eastAsia="zh-CN"/>
        </w:rPr>
        <w:t>资格要求的相关证明文件）</w:t>
      </w:r>
    </w:p>
    <w:p w14:paraId="05707F5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（1）营业执照复印件，并加盖参选人公章。</w:t>
      </w:r>
    </w:p>
    <w:p w14:paraId="765B5517">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（2）资质证书复印件，并加盖参选人公章。</w:t>
      </w:r>
      <w:r>
        <w:rPr>
          <w:rFonts w:hint="eastAsia" w:ascii="仿宋" w:hAnsi="仿宋" w:eastAsia="仿宋" w:cs="仿宋"/>
          <w:color w:val="auto"/>
          <w:spacing w:val="15"/>
          <w:kern w:val="0"/>
          <w:sz w:val="28"/>
          <w:szCs w:val="28"/>
          <w:highlight w:val="none"/>
        </w:rPr>
        <w:t>（不提供）</w:t>
      </w:r>
    </w:p>
    <w:p w14:paraId="06D1F74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（3）安全许可证复印件，并加盖参选人公章。</w:t>
      </w:r>
      <w:r>
        <w:rPr>
          <w:rFonts w:hint="eastAsia" w:ascii="仿宋" w:hAnsi="仿宋" w:eastAsia="仿宋" w:cs="仿宋"/>
          <w:color w:val="auto"/>
          <w:spacing w:val="15"/>
          <w:kern w:val="0"/>
          <w:sz w:val="28"/>
          <w:szCs w:val="28"/>
          <w:highlight w:val="none"/>
        </w:rPr>
        <w:t>（不提供）</w:t>
      </w:r>
    </w:p>
    <w:p w14:paraId="7DD5B9A3">
      <w:pPr>
        <w:keepNext w:val="0"/>
        <w:keepLines w:val="0"/>
        <w:pageBreakBefore w:val="0"/>
        <w:kinsoku/>
        <w:wordWrap/>
        <w:overflowPunct/>
        <w:topLinePunct w:val="0"/>
        <w:autoSpaceDE/>
        <w:autoSpaceDN/>
        <w:bidi w:val="0"/>
        <w:adjustRightInd w:val="0"/>
        <w:snapToGrid w:val="0"/>
        <w:spacing w:line="560" w:lineRule="exact"/>
        <w:ind w:firstLine="620" w:firstLineChars="200"/>
        <w:jc w:val="lef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（4）业绩：</w:t>
      </w:r>
      <w:r>
        <w:rPr>
          <w:rFonts w:hint="default" w:ascii="仿宋" w:hAnsi="仿宋" w:eastAsia="仿宋" w:cs="仿宋"/>
          <w:color w:val="auto"/>
          <w:spacing w:val="15"/>
          <w:kern w:val="0"/>
          <w:sz w:val="28"/>
          <w:szCs w:val="28"/>
          <w:highlight w:val="none"/>
          <w:u w:val="single"/>
          <w:lang w:eastAsia="zh-CN"/>
        </w:rPr>
        <w:t>参选单位</w:t>
      </w:r>
      <w:r>
        <w:rPr>
          <w:rFonts w:hint="eastAsia" w:ascii="仿宋" w:hAnsi="仿宋" w:eastAsia="仿宋" w:cs="仿宋"/>
          <w:color w:val="auto"/>
          <w:spacing w:val="15"/>
          <w:kern w:val="0"/>
          <w:sz w:val="28"/>
          <w:szCs w:val="28"/>
          <w:highlight w:val="none"/>
          <w:u w:val="single"/>
          <w:lang w:val="en-US" w:eastAsia="zh-CN"/>
        </w:rPr>
        <w:t>独立完成的完整版合同和交（竣）工验收证明或结算单资料复印件，并加盖</w:t>
      </w:r>
      <w:r>
        <w:rPr>
          <w:rFonts w:hint="default" w:ascii="仿宋" w:hAnsi="仿宋" w:eastAsia="仿宋" w:cs="仿宋"/>
          <w:color w:val="auto"/>
          <w:spacing w:val="15"/>
          <w:kern w:val="0"/>
          <w:sz w:val="28"/>
          <w:szCs w:val="28"/>
          <w:highlight w:val="none"/>
          <w:u w:val="single"/>
          <w:lang w:eastAsia="zh-CN"/>
        </w:rPr>
        <w:t>参选单位</w:t>
      </w:r>
      <w:r>
        <w:rPr>
          <w:rFonts w:hint="eastAsia" w:ascii="仿宋" w:hAnsi="仿宋" w:eastAsia="仿宋" w:cs="仿宋"/>
          <w:color w:val="auto"/>
          <w:spacing w:val="15"/>
          <w:kern w:val="0"/>
          <w:sz w:val="28"/>
          <w:szCs w:val="28"/>
          <w:highlight w:val="none"/>
          <w:u w:val="single"/>
          <w:lang w:val="en-US" w:eastAsia="zh-CN"/>
        </w:rPr>
        <w:t>公章</w:t>
      </w:r>
      <w:r>
        <w:rPr>
          <w:rFonts w:hint="eastAsia" w:ascii="仿宋" w:hAnsi="仿宋" w:eastAsia="仿宋" w:cs="仿宋"/>
          <w:color w:val="auto"/>
          <w:spacing w:val="15"/>
          <w:kern w:val="0"/>
          <w:sz w:val="28"/>
          <w:szCs w:val="28"/>
          <w:highlight w:val="none"/>
          <w:lang w:val="en-US" w:eastAsia="zh-CN"/>
        </w:rPr>
        <w:t>。</w:t>
      </w:r>
    </w:p>
    <w:p w14:paraId="053F2EE4">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（5）拟任本项目负责人</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0"/>
          <w:position w:val="0"/>
          <w:sz w:val="28"/>
          <w:szCs w:val="28"/>
          <w:highlight w:val="none"/>
          <w:u w:val="none"/>
          <w:lang w:val="en-US" w:eastAsia="zh-CN"/>
        </w:rPr>
        <w:t>（证书</w:t>
      </w:r>
      <w:r>
        <w:rPr>
          <w:rFonts w:hint="eastAsia" w:ascii="仿宋" w:hAnsi="仿宋" w:eastAsia="仿宋" w:cs="仿宋"/>
          <w:color w:val="auto"/>
          <w:spacing w:val="0"/>
          <w:position w:val="0"/>
          <w:sz w:val="28"/>
          <w:szCs w:val="28"/>
          <w:highlight w:val="none"/>
          <w:u w:val="none"/>
          <w:lang w:val="en-US" w:eastAsia="zh-CN"/>
        </w:rPr>
        <w:t>或职称或执业资格等）复印件及社保证明，并加盖</w:t>
      </w:r>
      <w:r>
        <w:rPr>
          <w:rFonts w:hint="default" w:ascii="仿宋" w:hAnsi="仿宋" w:eastAsia="仿宋" w:cs="仿宋"/>
          <w:color w:val="auto"/>
          <w:spacing w:val="0"/>
          <w:position w:val="0"/>
          <w:sz w:val="28"/>
          <w:szCs w:val="28"/>
          <w:highlight w:val="none"/>
          <w:u w:val="none"/>
          <w:lang w:eastAsia="zh-CN"/>
        </w:rPr>
        <w:t>参选单位</w:t>
      </w:r>
      <w:r>
        <w:rPr>
          <w:rFonts w:hint="eastAsia" w:ascii="仿宋" w:hAnsi="仿宋" w:eastAsia="仿宋" w:cs="仿宋"/>
          <w:color w:val="auto"/>
          <w:spacing w:val="0"/>
          <w:position w:val="0"/>
          <w:sz w:val="28"/>
          <w:szCs w:val="28"/>
          <w:highlight w:val="none"/>
          <w:u w:val="none"/>
          <w:lang w:val="en-US" w:eastAsia="zh-CN"/>
        </w:rPr>
        <w:t>公章。</w:t>
      </w:r>
      <w:r>
        <w:rPr>
          <w:rFonts w:hint="eastAsia" w:ascii="仿宋" w:hAnsi="仿宋" w:eastAsia="仿宋" w:cs="仿宋"/>
          <w:color w:val="auto"/>
          <w:spacing w:val="15"/>
          <w:kern w:val="0"/>
          <w:sz w:val="28"/>
          <w:szCs w:val="28"/>
          <w:highlight w:val="none"/>
        </w:rPr>
        <w:t>（不提供）</w:t>
      </w:r>
    </w:p>
    <w:p w14:paraId="23F055CB">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（6）其他人员</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0"/>
          <w:position w:val="0"/>
          <w:sz w:val="28"/>
          <w:szCs w:val="28"/>
          <w:highlight w:val="none"/>
          <w:u w:val="none"/>
          <w:lang w:val="en-US" w:eastAsia="zh-CN"/>
        </w:rPr>
        <w:t xml:space="preserve"> </w:t>
      </w:r>
      <w:r>
        <w:rPr>
          <w:rFonts w:hint="eastAsia" w:ascii="仿宋" w:hAnsi="仿宋" w:eastAsia="仿宋" w:cs="仿宋"/>
          <w:color w:val="auto"/>
          <w:spacing w:val="15"/>
          <w:kern w:val="0"/>
          <w:sz w:val="28"/>
          <w:szCs w:val="28"/>
          <w:highlight w:val="none"/>
        </w:rPr>
        <w:t>（不提供）</w:t>
      </w:r>
    </w:p>
    <w:p w14:paraId="147302BA">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（7）“信用中国”网站查询后下载信用信息报告自动生成的PDF文件，并加盖</w:t>
      </w:r>
      <w:r>
        <w:rPr>
          <w:rFonts w:hint="default" w:ascii="仿宋" w:hAnsi="仿宋" w:eastAsia="仿宋" w:cs="仿宋"/>
          <w:color w:val="auto"/>
          <w:spacing w:val="15"/>
          <w:kern w:val="0"/>
          <w:sz w:val="28"/>
          <w:szCs w:val="28"/>
          <w:highlight w:val="none"/>
          <w:lang w:eastAsia="zh-CN"/>
        </w:rPr>
        <w:t>参选单位</w:t>
      </w:r>
      <w:r>
        <w:rPr>
          <w:rFonts w:hint="eastAsia" w:ascii="仿宋" w:hAnsi="仿宋" w:eastAsia="仿宋" w:cs="仿宋"/>
          <w:color w:val="auto"/>
          <w:spacing w:val="15"/>
          <w:kern w:val="0"/>
          <w:sz w:val="28"/>
          <w:szCs w:val="28"/>
          <w:highlight w:val="none"/>
          <w:lang w:val="en-US" w:eastAsia="zh-CN"/>
        </w:rPr>
        <w:t>公章。</w:t>
      </w:r>
    </w:p>
    <w:p w14:paraId="120FF4BA">
      <w:pPr>
        <w:widowControl/>
        <w:spacing w:line="480" w:lineRule="exact"/>
        <w:ind w:firstLine="620" w:firstLineChars="200"/>
        <w:jc w:val="left"/>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w:t>
      </w:r>
      <w:r>
        <w:rPr>
          <w:rFonts w:hint="eastAsia" w:ascii="仿宋" w:hAnsi="仿宋" w:eastAsia="仿宋"/>
          <w:color w:val="auto"/>
          <w:spacing w:val="15"/>
          <w:kern w:val="0"/>
          <w:sz w:val="28"/>
          <w:szCs w:val="28"/>
          <w:highlight w:val="none"/>
          <w:lang w:val="en-US" w:eastAsia="zh-CN"/>
        </w:rPr>
        <w:t>企查查或水滴信用首页股东信息，主要人员截图并加盖</w:t>
      </w:r>
      <w:r>
        <w:rPr>
          <w:rFonts w:hint="default" w:ascii="仿宋" w:hAnsi="仿宋" w:eastAsia="仿宋"/>
          <w:color w:val="auto"/>
          <w:spacing w:val="15"/>
          <w:kern w:val="0"/>
          <w:sz w:val="28"/>
          <w:szCs w:val="28"/>
          <w:highlight w:val="none"/>
          <w:lang w:eastAsia="zh-CN"/>
        </w:rPr>
        <w:t>参选单位</w:t>
      </w:r>
      <w:r>
        <w:rPr>
          <w:rFonts w:hint="eastAsia" w:ascii="仿宋" w:hAnsi="仿宋" w:eastAsia="仿宋"/>
          <w:color w:val="auto"/>
          <w:spacing w:val="15"/>
          <w:kern w:val="0"/>
          <w:sz w:val="28"/>
          <w:szCs w:val="28"/>
          <w:highlight w:val="none"/>
          <w:lang w:val="en-US" w:eastAsia="zh-CN"/>
        </w:rPr>
        <w:t>公章。</w:t>
      </w:r>
    </w:p>
    <w:p w14:paraId="06AE2AEB">
      <w:pPr>
        <w:widowControl/>
        <w:spacing w:line="480" w:lineRule="exact"/>
        <w:ind w:firstLine="620" w:firstLineChars="200"/>
        <w:jc w:val="left"/>
        <w:outlineLvl w:val="9"/>
        <w:rPr>
          <w:rFonts w:hint="eastAsia" w:ascii="仿宋" w:hAnsi="仿宋" w:eastAsia="仿宋" w:cs="仿宋"/>
          <w:b w:val="0"/>
          <w:bCs w:val="0"/>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（9）</w:t>
      </w:r>
      <w:r>
        <w:rPr>
          <w:rFonts w:hint="eastAsia" w:ascii="仿宋" w:hAnsi="仿宋" w:eastAsia="仿宋" w:cs="仿宋"/>
          <w:b w:val="0"/>
          <w:bCs w:val="0"/>
          <w:color w:val="auto"/>
          <w:spacing w:val="15"/>
          <w:kern w:val="0"/>
          <w:sz w:val="28"/>
          <w:szCs w:val="28"/>
          <w:highlight w:val="none"/>
          <w:lang w:val="en-US" w:eastAsia="zh-CN"/>
        </w:rPr>
        <w:t>其他资格要求证明文件（如有，格式自拟）</w:t>
      </w:r>
    </w:p>
    <w:p w14:paraId="1189044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7.</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一览表及工程量清单</w:t>
      </w:r>
      <w:r>
        <w:rPr>
          <w:rFonts w:hint="eastAsia" w:ascii="仿宋" w:hAnsi="仿宋" w:eastAsia="仿宋" w:cs="仿宋"/>
          <w:color w:val="auto"/>
          <w:spacing w:val="15"/>
          <w:kern w:val="0"/>
          <w:sz w:val="28"/>
          <w:szCs w:val="28"/>
          <w:highlight w:val="none"/>
          <w:u w:val="single"/>
          <w:lang w:val="en-US" w:eastAsia="zh-CN"/>
        </w:rPr>
        <w:t>（单独封装并盖参选单位公章）</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color w:val="auto"/>
          <w:spacing w:val="15"/>
          <w:kern w:val="0"/>
          <w:sz w:val="28"/>
          <w:szCs w:val="28"/>
          <w:highlight w:val="none"/>
        </w:rPr>
        <w:t>的格式报价）</w:t>
      </w:r>
    </w:p>
    <w:p w14:paraId="57DA9ED2">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8.投标保证金（附件7）</w:t>
      </w:r>
    </w:p>
    <w:p w14:paraId="6BE2DD2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9.申明书（附件8）</w:t>
      </w:r>
    </w:p>
    <w:p w14:paraId="7621692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Times New Roman"/>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10.关联要求、联合体要求、增值税要求（附件9）</w:t>
      </w:r>
    </w:p>
    <w:p w14:paraId="22B8EC8D">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spacing w:val="15"/>
          <w:kern w:val="0"/>
          <w:sz w:val="32"/>
          <w:szCs w:val="32"/>
          <w:highlight w:val="none"/>
          <w:lang w:val="en-US" w:eastAsia="zh-CN"/>
        </w:rPr>
        <w:t>二、参选文件编制要求</w:t>
      </w:r>
    </w:p>
    <w:p w14:paraId="62CAEB5B">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以上资料如有复印件</w:t>
      </w:r>
      <w:r>
        <w:rPr>
          <w:rFonts w:hint="eastAsia" w:ascii="仿宋" w:hAnsi="仿宋" w:eastAsia="仿宋"/>
          <w:b w:val="0"/>
          <w:bCs w:val="0"/>
          <w:color w:val="auto"/>
          <w:spacing w:val="15"/>
          <w:kern w:val="0"/>
          <w:sz w:val="28"/>
          <w:szCs w:val="28"/>
          <w:highlight w:val="none"/>
        </w:rPr>
        <w:t>，须在复印件上加盖</w:t>
      </w:r>
      <w:r>
        <w:rPr>
          <w:rFonts w:hint="default" w:ascii="仿宋" w:hAnsi="仿宋" w:eastAsia="仿宋"/>
          <w:b w:val="0"/>
          <w:bCs w:val="0"/>
          <w:color w:val="auto"/>
          <w:spacing w:val="15"/>
          <w:kern w:val="0"/>
          <w:sz w:val="28"/>
          <w:szCs w:val="28"/>
          <w:highlight w:val="none"/>
          <w:lang w:eastAsia="zh-CN"/>
        </w:rPr>
        <w:t>参选单位</w:t>
      </w:r>
      <w:r>
        <w:rPr>
          <w:rFonts w:hint="eastAsia" w:ascii="仿宋" w:hAnsi="仿宋" w:eastAsia="仿宋"/>
          <w:b w:val="0"/>
          <w:bCs w:val="0"/>
          <w:color w:val="auto"/>
          <w:spacing w:val="15"/>
          <w:kern w:val="0"/>
          <w:sz w:val="28"/>
          <w:szCs w:val="28"/>
          <w:highlight w:val="none"/>
        </w:rPr>
        <w:t>公章。</w:t>
      </w:r>
    </w:p>
    <w:p w14:paraId="2721D790">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2.参选文件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14:paraId="661AC6DC">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3.参选文件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14:paraId="1B8BAC93">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4.</w:t>
      </w:r>
      <w:r>
        <w:rPr>
          <w:rFonts w:hint="eastAsia" w:ascii="仿宋" w:hAnsi="仿宋" w:eastAsia="仿宋"/>
          <w:color w:val="auto"/>
          <w:spacing w:val="15"/>
          <w:kern w:val="0"/>
          <w:sz w:val="28"/>
          <w:szCs w:val="28"/>
          <w:highlight w:val="none"/>
          <w:u w:val="single"/>
        </w:rPr>
        <w:t>参选文件商务技术部分和报价部分各伍份。正本1份，副本4份（</w:t>
      </w:r>
      <w:bookmarkStart w:id="3" w:name="OLE_LINK31"/>
      <w:r>
        <w:rPr>
          <w:rFonts w:hint="eastAsia" w:ascii="仿宋" w:hAnsi="仿宋" w:eastAsia="仿宋"/>
          <w:color w:val="auto"/>
          <w:spacing w:val="15"/>
          <w:kern w:val="0"/>
          <w:sz w:val="28"/>
          <w:szCs w:val="28"/>
          <w:highlight w:val="none"/>
          <w:u w:val="single"/>
        </w:rPr>
        <w:t>商务技术部分和报价部分</w:t>
      </w:r>
      <w:bookmarkEnd w:id="3"/>
      <w:r>
        <w:rPr>
          <w:rFonts w:hint="eastAsia" w:ascii="仿宋" w:hAnsi="仿宋" w:eastAsia="仿宋"/>
          <w:color w:val="auto"/>
          <w:spacing w:val="15"/>
          <w:kern w:val="0"/>
          <w:sz w:val="28"/>
          <w:szCs w:val="28"/>
          <w:highlight w:val="none"/>
          <w:u w:val="single"/>
        </w:rPr>
        <w:t>分别装订成册并分处不同的密封袋。）</w:t>
      </w:r>
      <w:r>
        <w:rPr>
          <w:rFonts w:hint="eastAsia" w:ascii="仿宋" w:hAnsi="仿宋" w:eastAsia="仿宋"/>
          <w:color w:val="auto"/>
          <w:spacing w:val="15"/>
          <w:kern w:val="0"/>
          <w:sz w:val="28"/>
          <w:szCs w:val="28"/>
          <w:highlight w:val="none"/>
        </w:rPr>
        <w:t>，电子文档1份 （电子文件内容为参选文件的扫描件，载体为U盘）。纸质版参选文件须清楚地注明“正本”或“副本”的字样。若正本与副本中存在不符的内容，以正本为准；若纸质版文件与电子文件中存在不符的内容，以纸质版文件为准。</w:t>
      </w:r>
    </w:p>
    <w:p w14:paraId="5DEB7CDA">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lang w:val="en-US" w:eastAsia="zh-CN"/>
        </w:rPr>
        <w:t>算术错误修正</w:t>
      </w:r>
    </w:p>
    <w:p w14:paraId="1E2D97D9">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投标人的投标报价有算术错误及其他错误的，评标委员会按以下原则对投标报价进行修正，并要求投标人签字确认。投标人拒不澄清确认的，评标委员会应当否决其投标：</w:t>
      </w:r>
    </w:p>
    <w:p w14:paraId="1935D748">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（1）投标文件中的大写金额与小写金额不一致的，以大写金额为准；</w:t>
      </w:r>
    </w:p>
    <w:p w14:paraId="0671EA98">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（2）总价金额与单价计算出的结果不一致的，以单价金额为准修正总价，但单价金额小数点有明显错误的除外；</w:t>
      </w:r>
    </w:p>
    <w:p w14:paraId="55667D2F">
      <w:pPr>
        <w:keepNext w:val="0"/>
        <w:keepLines w:val="0"/>
        <w:pageBreakBefore w:val="0"/>
        <w:widowControl/>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（3）如果分项报价中存在缺漏项，则视为缺漏项价格已包含在其他分项报价之中。</w:t>
      </w:r>
    </w:p>
    <w:p w14:paraId="157B5C32">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.参选文件装袋后应进行密封、封口</w:t>
      </w:r>
      <w:r>
        <w:rPr>
          <w:rFonts w:hint="eastAsia" w:ascii="仿宋" w:hAnsi="仿宋" w:eastAsia="仿宋"/>
          <w:color w:val="auto"/>
          <w:spacing w:val="15"/>
          <w:kern w:val="0"/>
          <w:sz w:val="28"/>
          <w:szCs w:val="28"/>
          <w:highlight w:val="none"/>
          <w:lang w:val="en-US" w:eastAsia="zh-CN"/>
        </w:rPr>
        <w:t>处</w:t>
      </w:r>
      <w:r>
        <w:rPr>
          <w:rFonts w:hint="eastAsia" w:ascii="仿宋" w:hAnsi="仿宋" w:eastAsia="仿宋"/>
          <w:color w:val="auto"/>
          <w:spacing w:val="15"/>
          <w:kern w:val="0"/>
          <w:sz w:val="28"/>
          <w:szCs w:val="28"/>
          <w:highlight w:val="none"/>
        </w:rPr>
        <w:t>应粘贴封口条，</w:t>
      </w:r>
      <w:r>
        <w:rPr>
          <w:rFonts w:hint="eastAsia" w:ascii="仿宋" w:hAnsi="仿宋" w:eastAsia="仿宋"/>
          <w:color w:val="auto"/>
          <w:spacing w:val="15"/>
          <w:kern w:val="0"/>
          <w:sz w:val="28"/>
          <w:szCs w:val="28"/>
          <w:highlight w:val="none"/>
          <w:lang w:val="en-US" w:eastAsia="zh-CN"/>
        </w:rPr>
        <w:t>封口处</w:t>
      </w:r>
      <w:r>
        <w:rPr>
          <w:rFonts w:hint="eastAsia" w:ascii="仿宋" w:hAnsi="仿宋" w:eastAsia="仿宋"/>
          <w:color w:val="auto"/>
          <w:spacing w:val="15"/>
          <w:kern w:val="0"/>
          <w:sz w:val="28"/>
          <w:szCs w:val="28"/>
          <w:highlight w:val="none"/>
        </w:rPr>
        <w:t>由参选人法定代表人或授权委托人签字并加盖参选单位公章。如果参选文件没有按上述要求密封，</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将不承担参选文件错放或提前开封的责任，参选文件将予以拒绝。</w:t>
      </w:r>
    </w:p>
    <w:p w14:paraId="75F0B7FF">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7.</w:t>
      </w:r>
      <w:r>
        <w:rPr>
          <w:rFonts w:hint="eastAsia" w:ascii="仿宋" w:hAnsi="仿宋" w:eastAsia="仿宋"/>
          <w:color w:val="auto"/>
          <w:spacing w:val="15"/>
          <w:kern w:val="0"/>
          <w:sz w:val="28"/>
          <w:szCs w:val="28"/>
          <w:highlight w:val="none"/>
          <w:u w:val="single"/>
        </w:rPr>
        <w:t>报价部分应单独封装，封口</w:t>
      </w:r>
      <w:r>
        <w:rPr>
          <w:rFonts w:hint="eastAsia" w:ascii="仿宋" w:hAnsi="仿宋" w:eastAsia="仿宋"/>
          <w:color w:val="auto"/>
          <w:spacing w:val="15"/>
          <w:kern w:val="0"/>
          <w:sz w:val="28"/>
          <w:szCs w:val="28"/>
          <w:highlight w:val="none"/>
          <w:u w:val="single"/>
          <w:lang w:val="en-US" w:eastAsia="zh-CN"/>
        </w:rPr>
        <w:t>处</w:t>
      </w:r>
      <w:r>
        <w:rPr>
          <w:rFonts w:hint="eastAsia" w:ascii="仿宋" w:hAnsi="仿宋" w:eastAsia="仿宋"/>
          <w:color w:val="auto"/>
          <w:spacing w:val="15"/>
          <w:kern w:val="0"/>
          <w:sz w:val="28"/>
          <w:szCs w:val="28"/>
          <w:highlight w:val="none"/>
          <w:u w:val="single"/>
        </w:rPr>
        <w:t>应粘贴封口条，</w:t>
      </w:r>
      <w:r>
        <w:rPr>
          <w:rFonts w:hint="eastAsia" w:ascii="仿宋" w:hAnsi="仿宋" w:eastAsia="仿宋"/>
          <w:color w:val="auto"/>
          <w:spacing w:val="15"/>
          <w:kern w:val="0"/>
          <w:sz w:val="28"/>
          <w:szCs w:val="28"/>
          <w:highlight w:val="none"/>
        </w:rPr>
        <w:t>由参选人法定代表人或授权委托人签字并加盖参选单位公章。如果参选文件没有按上述要求密封，招标人可视为无效标书</w:t>
      </w:r>
      <w:r>
        <w:rPr>
          <w:rFonts w:hint="eastAsia" w:ascii="仿宋" w:hAnsi="仿宋" w:eastAsia="仿宋"/>
          <w:color w:val="auto"/>
          <w:spacing w:val="15"/>
          <w:kern w:val="0"/>
          <w:sz w:val="28"/>
          <w:szCs w:val="28"/>
          <w:highlight w:val="none"/>
          <w:u w:val="none"/>
          <w:lang w:val="en-US" w:eastAsia="zh-CN"/>
        </w:rPr>
        <w:t>。</w:t>
      </w:r>
    </w:p>
    <w:p w14:paraId="07B6040B">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8</w:t>
      </w:r>
      <w:r>
        <w:rPr>
          <w:rFonts w:hint="eastAsia" w:ascii="仿宋" w:hAnsi="仿宋" w:eastAsia="仿宋"/>
          <w:color w:val="auto"/>
          <w:spacing w:val="15"/>
          <w:kern w:val="0"/>
          <w:sz w:val="28"/>
          <w:szCs w:val="28"/>
          <w:highlight w:val="none"/>
        </w:rPr>
        <w:t>.比选有效期为提交参选文件截止之日起</w:t>
      </w: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0天，在此期限内，凡符合比选公告和比选文件的参选文件均保持有效。本次参选文件资料均不退还。</w:t>
      </w:r>
    </w:p>
    <w:p w14:paraId="568C743C">
      <w:pPr>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14:paraId="6E530751">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14:paraId="32A665FB">
      <w:pPr>
        <w:keepNext w:val="0"/>
        <w:keepLines w:val="0"/>
        <w:pageBreakBefore/>
        <w:widowControl/>
        <w:kinsoku/>
        <w:wordWrap/>
        <w:overflowPunct/>
        <w:topLinePunct w:val="0"/>
        <w:autoSpaceDE/>
        <w:autoSpaceDN/>
        <w:bidi w:val="0"/>
        <w:adjustRightInd/>
        <w:snapToGrid/>
        <w:spacing w:line="480" w:lineRule="exact"/>
        <w:jc w:val="left"/>
        <w:textAlignment w:val="auto"/>
        <w:outlineLvl w:val="2"/>
        <w:rPr>
          <w:rFonts w:hint="eastAsia" w:eastAsia="宋体"/>
          <w:b/>
          <w:bCs/>
          <w:color w:val="auto"/>
          <w:kern w:val="0"/>
          <w:sz w:val="28"/>
          <w:szCs w:val="28"/>
          <w:highlight w:val="none"/>
          <w:lang w:eastAsia="zh-CN"/>
        </w:rPr>
      </w:pPr>
      <w:r>
        <w:rPr>
          <w:rFonts w:hint="eastAsia" w:ascii="宋体" w:hAnsi="宋体"/>
          <w:b/>
          <w:bCs/>
          <w:color w:val="auto"/>
          <w:kern w:val="0"/>
          <w:sz w:val="28"/>
          <w:szCs w:val="28"/>
          <w:highlight w:val="none"/>
        </w:rPr>
        <w:t>附件</w:t>
      </w:r>
      <w:r>
        <w:rPr>
          <w:rFonts w:hint="eastAsia"/>
          <w:b/>
          <w:bCs/>
          <w:color w:val="auto"/>
          <w:kern w:val="0"/>
          <w:sz w:val="28"/>
          <w:szCs w:val="28"/>
          <w:highlight w:val="none"/>
        </w:rPr>
        <w:t>1</w:t>
      </w:r>
    </w:p>
    <w:p w14:paraId="21930306">
      <w:pPr>
        <w:keepNext w:val="0"/>
        <w:keepLines w:val="0"/>
        <w:pageBreakBefore w:val="0"/>
        <w:widowControl/>
        <w:kinsoku/>
        <w:wordWrap/>
        <w:overflowPunct/>
        <w:topLinePunct w:val="0"/>
        <w:autoSpaceDE/>
        <w:autoSpaceDN/>
        <w:bidi w:val="0"/>
        <w:spacing w:line="480" w:lineRule="exact"/>
        <w:jc w:val="center"/>
        <w:outlineLvl w:val="2"/>
        <w:rPr>
          <w:rFonts w:ascii="宋体" w:hAnsi="宋体"/>
          <w:b/>
          <w:bCs/>
          <w:color w:val="auto"/>
          <w:kern w:val="0"/>
          <w:sz w:val="44"/>
          <w:szCs w:val="44"/>
          <w:highlight w:val="none"/>
        </w:rPr>
      </w:pPr>
      <w:r>
        <w:rPr>
          <w:rFonts w:hint="eastAsia" w:ascii="黑体" w:hAnsi="黑体" w:eastAsia="黑体" w:cs="黑体"/>
          <w:b/>
          <w:bCs/>
          <w:color w:val="auto"/>
          <w:kern w:val="0"/>
          <w:sz w:val="40"/>
          <w:szCs w:val="40"/>
          <w:highlight w:val="none"/>
        </w:rPr>
        <w:t>比</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选</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函</w:t>
      </w:r>
    </w:p>
    <w:p w14:paraId="7D313FDE">
      <w:pPr>
        <w:widowControl/>
        <w:spacing w:line="48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ascii="宋体" w:hAnsi="宋体" w:eastAsia="宋体" w:cs="宋体"/>
          <w:color w:val="auto"/>
          <w:highlight w:val="none"/>
          <w:u w:val="single"/>
        </w:rPr>
        <w:t> </w:t>
      </w:r>
      <w:r>
        <w:rPr>
          <w:rFonts w:hint="eastAsia" w:ascii="仿宋" w:hAnsi="仿宋" w:eastAsia="仿宋"/>
          <w:color w:val="auto"/>
          <w:kern w:val="0"/>
          <w:sz w:val="28"/>
          <w:szCs w:val="28"/>
          <w:highlight w:val="none"/>
          <w:u w:val="single"/>
        </w:rPr>
        <w:t>衡阳公路桥梁建设有限公司</w:t>
      </w:r>
      <w:r>
        <w:rPr>
          <w:rFonts w:hint="eastAsia" w:ascii="宋体" w:hAnsi="宋体" w:eastAsia="宋体" w:cs="宋体"/>
          <w:color w:val="auto"/>
          <w:highlight w:val="none"/>
          <w:u w:val="single"/>
          <w:lang w:val="en-US" w:eastAsia="zh-CN"/>
        </w:rPr>
        <w:t xml:space="preserve">  </w:t>
      </w:r>
    </w:p>
    <w:p w14:paraId="2A7E7F7F">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u w:val="single"/>
        </w:rPr>
        <w:t xml:space="preserve">                  （</w:t>
      </w: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全称）授权</w:t>
      </w: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授权委托人</w:t>
      </w:r>
      <w:r>
        <w:rPr>
          <w:rFonts w:hint="eastAsia" w:ascii="仿宋" w:hAnsi="仿宋" w:eastAsia="仿宋"/>
          <w:color w:val="auto"/>
          <w:kern w:val="0"/>
          <w:sz w:val="28"/>
          <w:szCs w:val="28"/>
          <w:highlight w:val="none"/>
          <w:u w:val="single"/>
        </w:rPr>
        <w:t>姓名）（职务）</w:t>
      </w:r>
      <w:r>
        <w:rPr>
          <w:rFonts w:hint="eastAsia" w:ascii="仿宋" w:hAnsi="仿宋" w:eastAsia="仿宋"/>
          <w:color w:val="auto"/>
          <w:kern w:val="0"/>
          <w:sz w:val="28"/>
          <w:szCs w:val="28"/>
          <w:highlight w:val="none"/>
        </w:rPr>
        <w:t>为全权代表，参加贵方组织的</w:t>
      </w:r>
      <w:r>
        <w:rPr>
          <w:rFonts w:hint="eastAsia" w:ascii="仿宋" w:hAnsi="仿宋" w:eastAsia="仿宋" w:cs="Times New Roman"/>
          <w:color w:val="auto"/>
          <w:kern w:val="0"/>
          <w:sz w:val="28"/>
          <w:szCs w:val="28"/>
          <w:highlight w:val="none"/>
          <w:u w:val="single"/>
          <w:lang w:val="en-US" w:eastAsia="zh-CN"/>
        </w:rPr>
        <w:t>G234常宁市新河至蒲竹公路工程一期工程项目改性沥青及沥青混凝土采购</w:t>
      </w:r>
      <w:r>
        <w:rPr>
          <w:rFonts w:hint="eastAsia" w:ascii="仿宋" w:hAnsi="仿宋" w:eastAsia="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14:paraId="70225E24">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如我方中选，我方保证按报价</w:t>
      </w:r>
      <w:r>
        <w:rPr>
          <w:rFonts w:hint="eastAsia" w:ascii="仿宋" w:hAnsi="仿宋" w:eastAsia="仿宋"/>
          <w:color w:val="auto"/>
          <w:kern w:val="0"/>
          <w:sz w:val="28"/>
          <w:szCs w:val="28"/>
          <w:highlight w:val="none"/>
          <w:lang w:val="en-US" w:eastAsia="zh-CN"/>
        </w:rPr>
        <w:t>一览表</w:t>
      </w:r>
      <w:r>
        <w:rPr>
          <w:rFonts w:hint="eastAsia" w:ascii="仿宋" w:hAnsi="仿宋" w:eastAsia="仿宋"/>
          <w:color w:val="auto"/>
          <w:kern w:val="0"/>
          <w:sz w:val="28"/>
          <w:szCs w:val="28"/>
          <w:highlight w:val="none"/>
        </w:rPr>
        <w:t>签订合同，不因其他任何情况而改变报价。</w:t>
      </w:r>
    </w:p>
    <w:p w14:paraId="0CB206D3">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如我方中选，我方保证忠实地执行双方签订的合同，按贵方的委托要求优质高效地完成委托</w:t>
      </w:r>
      <w:r>
        <w:rPr>
          <w:rFonts w:hint="eastAsia" w:ascii="仿宋" w:hAnsi="仿宋" w:eastAsia="仿宋"/>
          <w:color w:val="auto"/>
          <w:kern w:val="0"/>
          <w:sz w:val="28"/>
          <w:szCs w:val="28"/>
          <w:highlight w:val="none"/>
          <w:lang w:val="en-US" w:eastAsia="zh-CN"/>
        </w:rPr>
        <w:t>本项目</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s="Times New Roman"/>
          <w:color w:val="auto"/>
          <w:kern w:val="0"/>
          <w:sz w:val="28"/>
          <w:szCs w:val="28"/>
          <w:highlight w:val="none"/>
          <w:u w:val="single"/>
          <w:lang w:val="en-US" w:eastAsia="zh-CN"/>
        </w:rPr>
        <w:t>G234常宁市新河至蒲竹公路工程一期工程项目改性沥青及沥青混凝土采购</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任务。</w:t>
      </w:r>
    </w:p>
    <w:p w14:paraId="562A5205">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我方同意在本比选项目比选时间起至</w:t>
      </w:r>
      <w:r>
        <w:rPr>
          <w:rFonts w:hint="eastAsia" w:ascii="仿宋" w:hAnsi="仿宋" w:eastAsia="仿宋"/>
          <w:color w:val="auto"/>
          <w:kern w:val="0"/>
          <w:sz w:val="28"/>
          <w:szCs w:val="28"/>
          <w:highlight w:val="none"/>
          <w:lang w:val="en-US" w:eastAsia="zh-CN"/>
        </w:rPr>
        <w:t>委托</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s="Times New Roman"/>
          <w:color w:val="auto"/>
          <w:kern w:val="0"/>
          <w:sz w:val="28"/>
          <w:szCs w:val="28"/>
          <w:highlight w:val="none"/>
          <w:u w:val="single"/>
          <w:lang w:val="en-US" w:eastAsia="zh-CN"/>
        </w:rPr>
        <w:t>G234常宁市新河至蒲竹公路工程一期工程项目改性沥青及沥青混凝土采购</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结束前，遵守本比选文件的承诺，且在此期限内具有约束力。</w:t>
      </w:r>
    </w:p>
    <w:p w14:paraId="0BF7B8DE">
      <w:pPr>
        <w:keepNext w:val="0"/>
        <w:keepLines w:val="0"/>
        <w:pageBreakBefore w:val="0"/>
        <w:widowControl/>
        <w:kinsoku/>
        <w:wordWrap/>
        <w:overflowPunct/>
        <w:topLinePunct w:val="0"/>
        <w:autoSpaceDE/>
        <w:autoSpaceDN/>
        <w:bidi w:val="0"/>
        <w:spacing w:line="480" w:lineRule="exact"/>
        <w:ind w:firstLine="570"/>
        <w:outlineLvl w:val="9"/>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因建设单位原因导致总包合同无法履行或暂停履行的，我方自愿放弃向贵公司追究任何法律责任及经济赔偿的权利，并承诺不因此向贵公司提出任何主张。</w:t>
      </w:r>
    </w:p>
    <w:p w14:paraId="1D3ED7EF">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本比选函是本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的组成部分，对我方均有约束力。</w:t>
      </w:r>
    </w:p>
    <w:p w14:paraId="58F02104">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在签订合同前，贵方的中选通知书连同本函及附录，对双方具有约束力。</w:t>
      </w:r>
    </w:p>
    <w:p w14:paraId="5B837B4E">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与本比选有关的一切正式往来函件请寄：</w:t>
      </w:r>
    </w:p>
    <w:p w14:paraId="2912F71F">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地址：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邮编：</w:t>
      </w:r>
    </w:p>
    <w:p w14:paraId="1D09AAC3">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电话：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传真：</w:t>
      </w:r>
    </w:p>
    <w:p w14:paraId="2AAD1063">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28"/>
          <w:szCs w:val="28"/>
          <w:highlight w:val="none"/>
          <w:u w:val="singl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76C4D674">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32"/>
          <w:szCs w:val="32"/>
          <w:highlight w:val="none"/>
        </w:rPr>
      </w:pPr>
      <w:r>
        <w:rPr>
          <w:rFonts w:hint="eastAsia" w:ascii="仿宋" w:hAnsi="仿宋" w:eastAsia="仿宋"/>
          <w:color w:val="auto"/>
          <w:kern w:val="0"/>
          <w:sz w:val="28"/>
          <w:szCs w:val="28"/>
          <w:highlight w:val="none"/>
        </w:rPr>
        <w:t>法定代表人（或授权人）签字并盖章</w:t>
      </w:r>
      <w:r>
        <w:rPr>
          <w:rFonts w:hint="eastAsia" w:ascii="仿宋" w:hAnsi="仿宋" w:eastAsia="仿宋"/>
          <w:color w:val="auto"/>
          <w:kern w:val="0"/>
          <w:sz w:val="28"/>
          <w:szCs w:val="28"/>
          <w:highlight w:val="none"/>
          <w:lang w:eastAsia="zh-CN"/>
        </w:rPr>
        <w:t>：</w:t>
      </w:r>
    </w:p>
    <w:p w14:paraId="3B2C3C39">
      <w:pPr>
        <w:keepNext w:val="0"/>
        <w:keepLines w:val="0"/>
        <w:pageBreakBefore w:val="0"/>
        <w:widowControl/>
        <w:kinsoku/>
        <w:wordWrap/>
        <w:overflowPunct/>
        <w:topLinePunct w:val="0"/>
        <w:autoSpaceDE/>
        <w:autoSpaceDN/>
        <w:bidi w:val="0"/>
        <w:spacing w:line="480" w:lineRule="exact"/>
        <w:ind w:firstLine="3920" w:firstLineChars="1400"/>
        <w:outlineLvl w:val="9"/>
        <w:rPr>
          <w:rFonts w:ascii="宋体" w:hAnsi="宋体"/>
          <w:b/>
          <w:bCs/>
          <w:color w:val="auto"/>
          <w:kern w:val="0"/>
          <w:sz w:val="28"/>
          <w:szCs w:val="28"/>
          <w:highlight w:val="none"/>
        </w:rPr>
      </w:pPr>
      <w:r>
        <w:rPr>
          <w:rFonts w:hint="eastAsia" w:ascii="仿宋" w:hAnsi="仿宋" w:eastAsia="仿宋"/>
          <w:color w:val="auto"/>
          <w:kern w:val="0"/>
          <w:sz w:val="28"/>
          <w:szCs w:val="28"/>
          <w:highlight w:val="none"/>
        </w:rPr>
        <w:t>日期：   年   月   日</w:t>
      </w:r>
    </w:p>
    <w:p w14:paraId="4189C733">
      <w:pPr>
        <w:keepNext w:val="0"/>
        <w:keepLines w:val="0"/>
        <w:pageBreakBefore w:val="0"/>
        <w:widowControl/>
        <w:kinsoku/>
        <w:wordWrap/>
        <w:overflowPunct/>
        <w:topLinePunct w:val="0"/>
        <w:autoSpaceDE/>
        <w:autoSpaceDN/>
        <w:bidi w:val="0"/>
        <w:spacing w:line="480" w:lineRule="exact"/>
        <w:jc w:val="left"/>
        <w:outlineLvl w:val="2"/>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rPr>
        <w:t>附件2</w:t>
      </w:r>
    </w:p>
    <w:p w14:paraId="5ECA17EA">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val="0"/>
          <w:color w:val="auto"/>
          <w:kern w:val="0"/>
          <w:sz w:val="40"/>
          <w:szCs w:val="40"/>
          <w:highlight w:val="none"/>
        </w:rPr>
      </w:pPr>
      <w:r>
        <w:rPr>
          <w:rFonts w:hint="eastAsia" w:ascii="黑体" w:hAnsi="黑体" w:eastAsia="黑体" w:cs="黑体"/>
          <w:b/>
          <w:bCs w:val="0"/>
          <w:color w:val="auto"/>
          <w:kern w:val="0"/>
          <w:sz w:val="40"/>
          <w:szCs w:val="40"/>
          <w:highlight w:val="none"/>
        </w:rPr>
        <w:t>承</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诺</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函</w:t>
      </w:r>
    </w:p>
    <w:p w14:paraId="338AB7B6">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4"/>
          <w:highlight w:val="none"/>
        </w:rPr>
      </w:pPr>
    </w:p>
    <w:p w14:paraId="2E9B849F">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1、若我方中选，我方愿意完全遵照贵方的比选公告、比选文件和政府的有关规定，积极配合</w:t>
      </w:r>
      <w:r>
        <w:rPr>
          <w:rFonts w:hint="eastAsia" w:ascii="仿宋" w:hAnsi="仿宋" w:eastAsia="仿宋"/>
          <w:color w:val="auto"/>
          <w:spacing w:val="15"/>
          <w:kern w:val="0"/>
          <w:sz w:val="28"/>
          <w:szCs w:val="28"/>
          <w:highlight w:val="none"/>
          <w:lang w:val="en-US" w:eastAsia="zh-CN"/>
        </w:rPr>
        <w:t>招标人</w:t>
      </w:r>
      <w:r>
        <w:rPr>
          <w:rFonts w:hint="eastAsia" w:ascii="仿宋" w:hAnsi="仿宋" w:eastAsia="仿宋"/>
          <w:color w:val="auto"/>
          <w:kern w:val="0"/>
          <w:sz w:val="28"/>
          <w:szCs w:val="28"/>
          <w:highlight w:val="none"/>
        </w:rPr>
        <w:t>签订合同，并按合同要求承担本项目</w:t>
      </w:r>
      <w:r>
        <w:rPr>
          <w:rFonts w:hint="eastAsia" w:ascii="仿宋" w:hAnsi="仿宋" w:eastAsia="仿宋"/>
          <w:color w:val="auto"/>
          <w:kern w:val="0"/>
          <w:sz w:val="28"/>
          <w:szCs w:val="28"/>
          <w:highlight w:val="none"/>
          <w:lang w:val="en-US" w:eastAsia="zh-CN"/>
        </w:rPr>
        <w:t>委托全部工作</w:t>
      </w:r>
      <w:r>
        <w:rPr>
          <w:rFonts w:hint="eastAsia" w:ascii="仿宋" w:hAnsi="仿宋" w:eastAsia="仿宋"/>
          <w:color w:val="auto"/>
          <w:kern w:val="0"/>
          <w:sz w:val="28"/>
          <w:szCs w:val="28"/>
          <w:highlight w:val="none"/>
        </w:rPr>
        <w:t>，保证不转让、转包本项目的</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s="Times New Roman"/>
          <w:color w:val="auto"/>
          <w:kern w:val="0"/>
          <w:sz w:val="28"/>
          <w:szCs w:val="28"/>
          <w:highlight w:val="none"/>
          <w:u w:val="single"/>
          <w:lang w:val="en-US" w:eastAsia="zh-CN"/>
        </w:rPr>
        <w:t>G234常宁市新河至蒲竹公路工程一期工程项目改性沥青及沥青混凝土采购</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olor w:val="auto"/>
          <w:kern w:val="0"/>
          <w:sz w:val="28"/>
          <w:szCs w:val="28"/>
          <w:highlight w:val="none"/>
          <w:lang w:val="en-US" w:eastAsia="zh-CN"/>
        </w:rPr>
        <w:t>全部</w:t>
      </w:r>
      <w:r>
        <w:rPr>
          <w:rFonts w:hint="eastAsia" w:ascii="仿宋" w:hAnsi="仿宋" w:eastAsia="仿宋"/>
          <w:color w:val="auto"/>
          <w:kern w:val="0"/>
          <w:sz w:val="28"/>
          <w:szCs w:val="28"/>
          <w:highlight w:val="none"/>
        </w:rPr>
        <w:t>业务。</w:t>
      </w:r>
    </w:p>
    <w:p w14:paraId="609D6598">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2、在正式合同订立之前，本</w:t>
      </w:r>
      <w:r>
        <w:rPr>
          <w:rFonts w:hint="eastAsia" w:ascii="仿宋" w:hAnsi="仿宋" w:eastAsia="仿宋"/>
          <w:color w:val="auto"/>
          <w:kern w:val="0"/>
          <w:sz w:val="28"/>
          <w:szCs w:val="28"/>
          <w:highlight w:val="none"/>
          <w:lang w:val="en-US" w:eastAsia="zh-CN"/>
        </w:rPr>
        <w:t>参选文件</w:t>
      </w:r>
      <w:r>
        <w:rPr>
          <w:rFonts w:hint="eastAsia" w:ascii="仿宋" w:hAnsi="仿宋" w:eastAsia="仿宋"/>
          <w:color w:val="auto"/>
          <w:kern w:val="0"/>
          <w:sz w:val="28"/>
          <w:szCs w:val="28"/>
          <w:highlight w:val="none"/>
        </w:rPr>
        <w:t>同贵方中选通知书</w:t>
      </w:r>
      <w:r>
        <w:rPr>
          <w:rFonts w:hint="eastAsia" w:ascii="仿宋" w:hAnsi="仿宋" w:eastAsia="仿宋"/>
          <w:color w:val="auto"/>
          <w:kern w:val="0"/>
          <w:sz w:val="28"/>
          <w:szCs w:val="28"/>
          <w:highlight w:val="none"/>
          <w:lang w:eastAsia="zh-CN"/>
        </w:rPr>
        <w:t>，以及</w:t>
      </w:r>
      <w:r>
        <w:rPr>
          <w:rFonts w:hint="eastAsia" w:ascii="仿宋" w:hAnsi="仿宋" w:eastAsia="仿宋"/>
          <w:color w:val="auto"/>
          <w:kern w:val="0"/>
          <w:sz w:val="28"/>
          <w:szCs w:val="28"/>
          <w:highlight w:val="none"/>
        </w:rPr>
        <w:t>其他文件和附件成为约束双方的合同。</w:t>
      </w:r>
    </w:p>
    <w:p w14:paraId="0BC2CD52">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3、我们对出具的业绩表以及反映</w:t>
      </w:r>
      <w:r>
        <w:rPr>
          <w:rFonts w:hint="eastAsia" w:ascii="仿宋" w:hAnsi="仿宋" w:eastAsia="仿宋"/>
          <w:color w:val="auto"/>
          <w:spacing w:val="15"/>
          <w:kern w:val="0"/>
          <w:sz w:val="28"/>
          <w:szCs w:val="28"/>
          <w:highlight w:val="none"/>
          <w:lang w:val="en-US" w:eastAsia="zh-CN"/>
        </w:rPr>
        <w:t>参选人</w:t>
      </w:r>
      <w:r>
        <w:rPr>
          <w:rFonts w:hint="eastAsia" w:ascii="仿宋" w:hAnsi="仿宋" w:eastAsia="仿宋"/>
          <w:color w:val="auto"/>
          <w:kern w:val="0"/>
          <w:sz w:val="28"/>
          <w:szCs w:val="28"/>
          <w:highlight w:val="none"/>
        </w:rPr>
        <w:t>实力及信誉的各种证明材料的真实性负责。如有虚假行为，无条件同意贵方取消我们的</w:t>
      </w:r>
      <w:r>
        <w:rPr>
          <w:rFonts w:hint="eastAsia" w:ascii="仿宋" w:hAnsi="仿宋" w:eastAsia="仿宋"/>
          <w:color w:val="auto"/>
          <w:kern w:val="0"/>
          <w:sz w:val="28"/>
          <w:szCs w:val="28"/>
          <w:highlight w:val="none"/>
          <w:lang w:eastAsia="zh-CN"/>
        </w:rPr>
        <w:t>中</w:t>
      </w:r>
      <w:r>
        <w:rPr>
          <w:rFonts w:hint="eastAsia" w:ascii="仿宋" w:hAnsi="仿宋" w:eastAsia="仿宋"/>
          <w:color w:val="auto"/>
          <w:kern w:val="0"/>
          <w:sz w:val="28"/>
          <w:szCs w:val="28"/>
          <w:highlight w:val="none"/>
          <w:lang w:val="en-US" w:eastAsia="zh-CN"/>
        </w:rPr>
        <w:t>选</w:t>
      </w:r>
      <w:r>
        <w:rPr>
          <w:rFonts w:hint="eastAsia" w:ascii="仿宋" w:hAnsi="仿宋" w:eastAsia="仿宋"/>
          <w:color w:val="auto"/>
          <w:kern w:val="0"/>
          <w:sz w:val="28"/>
          <w:szCs w:val="28"/>
          <w:highlight w:val="none"/>
        </w:rPr>
        <w:t>资格</w:t>
      </w:r>
      <w:r>
        <w:rPr>
          <w:rFonts w:hint="eastAsia" w:ascii="仿宋" w:hAnsi="仿宋" w:eastAsia="仿宋"/>
          <w:color w:val="auto"/>
          <w:kern w:val="0"/>
          <w:sz w:val="28"/>
          <w:szCs w:val="28"/>
          <w:highlight w:val="none"/>
          <w:lang w:val="en-US" w:eastAsia="zh-CN"/>
        </w:rPr>
        <w:t>并接受贵方的处罚</w:t>
      </w:r>
      <w:r>
        <w:rPr>
          <w:rFonts w:hint="eastAsia" w:ascii="仿宋" w:hAnsi="仿宋" w:eastAsia="仿宋"/>
          <w:color w:val="auto"/>
          <w:kern w:val="0"/>
          <w:sz w:val="28"/>
          <w:szCs w:val="28"/>
          <w:highlight w:val="none"/>
        </w:rPr>
        <w:t>。</w:t>
      </w:r>
    </w:p>
    <w:p w14:paraId="1C660283">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4、同意从中选日起至我们双方签订的合同有效期内遵守本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的各项承诺。本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始终将对我方具有法律约束力。</w:t>
      </w:r>
    </w:p>
    <w:p w14:paraId="12986A40">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5、我方承诺，若中选，本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中人员安排不做更换。</w:t>
      </w:r>
    </w:p>
    <w:p w14:paraId="477F9DE8">
      <w:pPr>
        <w:keepNext w:val="0"/>
        <w:keepLines w:val="0"/>
        <w:pageBreakBefore w:val="0"/>
        <w:widowControl/>
        <w:kinsoku/>
        <w:wordWrap/>
        <w:overflowPunct/>
        <w:topLinePunct w:val="0"/>
        <w:autoSpaceDE/>
        <w:autoSpaceDN/>
        <w:bidi w:val="0"/>
        <w:spacing w:line="480" w:lineRule="exact"/>
        <w:ind w:firstLine="480"/>
        <w:jc w:val="left"/>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我方承诺遵守</w:t>
      </w:r>
      <w:r>
        <w:rPr>
          <w:rFonts w:hint="eastAsia" w:ascii="仿宋" w:hAnsi="仿宋" w:eastAsia="仿宋"/>
          <w:color w:val="auto"/>
          <w:kern w:val="0"/>
          <w:sz w:val="28"/>
          <w:szCs w:val="28"/>
          <w:highlight w:val="none"/>
          <w:lang w:val="en-US" w:eastAsia="zh-CN"/>
        </w:rPr>
        <w:t>比选</w:t>
      </w:r>
      <w:r>
        <w:rPr>
          <w:rFonts w:hint="eastAsia" w:ascii="仿宋" w:hAnsi="仿宋" w:eastAsia="仿宋"/>
          <w:color w:val="auto"/>
          <w:kern w:val="0"/>
          <w:sz w:val="28"/>
          <w:szCs w:val="28"/>
          <w:highlight w:val="none"/>
        </w:rPr>
        <w:t>文件关联要求的规定，</w:t>
      </w:r>
      <w:r>
        <w:rPr>
          <w:rFonts w:hint="eastAsia" w:ascii="仿宋" w:hAnsi="仿宋" w:eastAsia="仿宋"/>
          <w:color w:val="auto"/>
          <w:kern w:val="0"/>
          <w:sz w:val="28"/>
          <w:szCs w:val="28"/>
          <w:highlight w:val="none"/>
          <w:lang w:val="en-US" w:eastAsia="zh-CN"/>
        </w:rPr>
        <w:t>即参选人法定代表人或负责人为同一人或者存在控股、管理关系的不同参选人，不得同时参加本次比选；若违反本承诺，投标及中标无效，并自愿承担招标人的全部损失及相关法律责任，自愿接受招标人的处罚决定。</w:t>
      </w:r>
    </w:p>
    <w:p w14:paraId="333CA866">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14:paraId="0A42047A">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1186761B">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邮政编码：</w:t>
      </w:r>
    </w:p>
    <w:p w14:paraId="160F67D7">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地址：</w:t>
      </w:r>
    </w:p>
    <w:p w14:paraId="5D277443">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法定代表人或其授权的代理人：（章）</w:t>
      </w:r>
    </w:p>
    <w:p w14:paraId="3ADA506B">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p>
    <w:p w14:paraId="1B29C694">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传真号码：</w:t>
      </w:r>
    </w:p>
    <w:p w14:paraId="1F03AE29">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14:paraId="53B94C8A">
      <w:pPr>
        <w:pStyle w:val="14"/>
        <w:outlineLvl w:val="9"/>
        <w:rPr>
          <w:color w:val="auto"/>
          <w:highlight w:val="none"/>
        </w:rPr>
      </w:pPr>
    </w:p>
    <w:p w14:paraId="227653EE">
      <w:pPr>
        <w:keepNext w:val="0"/>
        <w:keepLines w:val="0"/>
        <w:pageBreakBefore w:val="0"/>
        <w:widowControl/>
        <w:kinsoku/>
        <w:wordWrap/>
        <w:overflowPunct/>
        <w:topLinePunct w:val="0"/>
        <w:autoSpaceDE/>
        <w:autoSpaceDN/>
        <w:bidi w:val="0"/>
        <w:spacing w:line="480" w:lineRule="exact"/>
        <w:ind w:firstLine="480"/>
        <w:jc w:val="left"/>
        <w:outlineLvl w:val="9"/>
        <w:rPr>
          <w:color w:val="auto"/>
          <w:kern w:val="0"/>
          <w:szCs w:val="21"/>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日期：   年   月   日</w:t>
      </w:r>
    </w:p>
    <w:p w14:paraId="2EBFC777">
      <w:pPr>
        <w:pStyle w:val="3"/>
        <w:ind w:left="0" w:leftChars="0" w:firstLine="0" w:firstLineChars="0"/>
        <w:outlineLvl w:val="9"/>
        <w:rPr>
          <w:color w:val="auto"/>
          <w:highlight w:val="none"/>
        </w:rPr>
      </w:pPr>
    </w:p>
    <w:p w14:paraId="634E2F27">
      <w:pPr>
        <w:keepNext w:val="0"/>
        <w:keepLines w:val="0"/>
        <w:pageBreakBefore w:val="0"/>
        <w:kinsoku/>
        <w:wordWrap/>
        <w:overflowPunct/>
        <w:topLinePunct w:val="0"/>
        <w:autoSpaceDE/>
        <w:autoSpaceDN/>
        <w:bidi w:val="0"/>
        <w:spacing w:line="480" w:lineRule="exact"/>
        <w:outlineLvl w:val="2"/>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附件3</w:t>
      </w:r>
    </w:p>
    <w:p w14:paraId="07C04CD0">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rPr>
      </w:pPr>
      <w:r>
        <w:rPr>
          <w:rFonts w:hint="eastAsia" w:ascii="黑体" w:hAnsi="黑体" w:eastAsia="黑体" w:cs="黑体"/>
          <w:b/>
          <w:bCs/>
          <w:color w:val="auto"/>
          <w:spacing w:val="15"/>
          <w:kern w:val="0"/>
          <w:sz w:val="40"/>
          <w:szCs w:val="40"/>
          <w:highlight w:val="none"/>
        </w:rPr>
        <w:t>法定代表人身份证明</w:t>
      </w:r>
    </w:p>
    <w:p w14:paraId="54E7953F">
      <w:pPr>
        <w:adjustRightInd w:val="0"/>
        <w:snapToGrid w:val="0"/>
        <w:spacing w:line="360" w:lineRule="auto"/>
        <w:outlineLvl w:val="9"/>
        <w:rPr>
          <w:rFonts w:hint="eastAsia" w:ascii="仿宋_GB2312" w:hAnsi="华文仿宋" w:eastAsia="仿宋_GB2312"/>
          <w:color w:val="auto"/>
          <w:sz w:val="28"/>
          <w:szCs w:val="28"/>
          <w:highlight w:val="none"/>
        </w:rPr>
      </w:pPr>
    </w:p>
    <w:p w14:paraId="3700BDD1">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olor w:val="auto"/>
          <w:kern w:val="0"/>
          <w:sz w:val="28"/>
          <w:szCs w:val="28"/>
          <w:highlight w:val="none"/>
          <w:lang w:val="en-US"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14:paraId="37E93E22">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774D03BE">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3F9E076C">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05F50020">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的法定代表人。</w:t>
      </w:r>
    </w:p>
    <w:p w14:paraId="44687B40">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5"/>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7F0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21F198F2">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法定代表人（单位负责人）身份证复印件（正反面）</w:t>
            </w:r>
          </w:p>
        </w:tc>
      </w:tr>
    </w:tbl>
    <w:p w14:paraId="779ED569">
      <w:pPr>
        <w:adjustRightInd w:val="0"/>
        <w:snapToGrid w:val="0"/>
        <w:spacing w:line="360" w:lineRule="auto"/>
        <w:outlineLvl w:val="9"/>
        <w:rPr>
          <w:rFonts w:hint="eastAsia" w:ascii="仿宋" w:hAnsi="仿宋" w:eastAsia="仿宋" w:cs="仿宋"/>
          <w:color w:val="auto"/>
          <w:sz w:val="28"/>
          <w:szCs w:val="28"/>
          <w:highlight w:val="none"/>
        </w:rPr>
      </w:pPr>
    </w:p>
    <w:p w14:paraId="58AB9CF8">
      <w:pPr>
        <w:adjustRightInd w:val="0"/>
        <w:snapToGrid w:val="0"/>
        <w:spacing w:line="360" w:lineRule="auto"/>
        <w:outlineLvl w:val="9"/>
        <w:rPr>
          <w:rFonts w:hint="eastAsia" w:ascii="仿宋" w:hAnsi="仿宋" w:eastAsia="仿宋" w:cs="仿宋"/>
          <w:color w:val="auto"/>
          <w:sz w:val="28"/>
          <w:szCs w:val="28"/>
          <w:highlight w:val="none"/>
        </w:rPr>
      </w:pPr>
    </w:p>
    <w:p w14:paraId="7BD28380">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rPr>
      </w:pPr>
      <w:r>
        <w:rPr>
          <w:rFonts w:hint="default" w:ascii="仿宋" w:hAnsi="仿宋" w:eastAsia="仿宋" w:cs="仿宋"/>
          <w:color w:val="auto"/>
          <w:sz w:val="28"/>
          <w:szCs w:val="28"/>
          <w:highlight w:val="none"/>
          <w:lang w:eastAsia="zh-CN"/>
        </w:rPr>
        <w:t>参选单位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14:paraId="0AC7058F">
      <w:pPr>
        <w:adjustRightInd w:val="0"/>
        <w:snapToGrid w:val="0"/>
        <w:spacing w:line="360" w:lineRule="auto"/>
        <w:ind w:firstLine="2511" w:firstLineChars="897"/>
        <w:outlineLvl w:val="9"/>
        <w:rPr>
          <w:rFonts w:hint="eastAsia" w:ascii="仿宋" w:hAnsi="仿宋" w:eastAsia="仿宋" w:cs="仿宋"/>
          <w:color w:val="auto"/>
          <w:sz w:val="28"/>
          <w:szCs w:val="28"/>
          <w:highlight w:val="none"/>
        </w:rPr>
      </w:pPr>
    </w:p>
    <w:p w14:paraId="334B9DE7">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年    月   日 </w:t>
      </w:r>
    </w:p>
    <w:p w14:paraId="70521840">
      <w:pPr>
        <w:widowControl/>
        <w:topLinePunct/>
        <w:spacing w:line="620" w:lineRule="exact"/>
        <w:outlineLvl w:val="9"/>
        <w:rPr>
          <w:rFonts w:hint="eastAsia" w:ascii="仿宋" w:hAnsi="仿宋" w:eastAsia="仿宋" w:cs="仿宋"/>
          <w:color w:val="auto"/>
          <w:kern w:val="0"/>
          <w:sz w:val="28"/>
          <w:szCs w:val="28"/>
          <w:highlight w:val="none"/>
          <w:lang w:val="en-US" w:eastAsia="zh-CN"/>
        </w:rPr>
      </w:pPr>
    </w:p>
    <w:p w14:paraId="310FBEAA">
      <w:pPr>
        <w:widowControl/>
        <w:topLinePunct/>
        <w:spacing w:line="620" w:lineRule="exact"/>
        <w:outlineLvl w:val="9"/>
        <w:rPr>
          <w:color w:val="auto"/>
          <w:kern w:val="0"/>
          <w:szCs w:val="21"/>
          <w:highlight w:val="none"/>
        </w:rPr>
      </w:pPr>
      <w:r>
        <w:rPr>
          <w:rFonts w:hint="eastAsia" w:ascii="仿宋" w:hAnsi="仿宋" w:eastAsia="仿宋" w:cs="仿宋"/>
          <w:b/>
          <w:bCs/>
          <w:color w:val="auto"/>
          <w:kern w:val="0"/>
          <w:sz w:val="24"/>
          <w:szCs w:val="24"/>
          <w:highlight w:val="none"/>
          <w:lang w:val="en-US" w:eastAsia="zh-CN"/>
        </w:rPr>
        <w:t>注</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法定代表人的，请另单独准备本法定代表人身份证明原件一份，身份验证时单独提交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w:t>
      </w:r>
      <w:r>
        <w:rPr>
          <w:rFonts w:hint="eastAsia" w:ascii="仿宋" w:hAnsi="仿宋" w:eastAsia="仿宋" w:cs="仿宋"/>
          <w:b/>
          <w:bCs/>
          <w:color w:val="auto"/>
          <w:kern w:val="0"/>
          <w:sz w:val="24"/>
          <w:szCs w:val="24"/>
          <w:highlight w:val="none"/>
        </w:rPr>
        <w:t>法定代表人</w:t>
      </w:r>
      <w:r>
        <w:rPr>
          <w:rFonts w:hint="eastAsia" w:ascii="仿宋" w:hAnsi="仿宋" w:eastAsia="仿宋" w:cs="仿宋"/>
          <w:b/>
          <w:bCs/>
          <w:color w:val="auto"/>
          <w:kern w:val="0"/>
          <w:sz w:val="24"/>
          <w:szCs w:val="24"/>
          <w:highlight w:val="none"/>
          <w:lang w:val="en-US" w:eastAsia="zh-CN"/>
        </w:rPr>
        <w:t>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color w:val="auto"/>
          <w:kern w:val="0"/>
          <w:sz w:val="24"/>
          <w:szCs w:val="24"/>
          <w:highlight w:val="none"/>
        </w:rPr>
        <w:t>。</w:t>
      </w:r>
    </w:p>
    <w:p w14:paraId="3F40147E">
      <w:pPr>
        <w:keepNext w:val="0"/>
        <w:keepLines w:val="0"/>
        <w:pageBreakBefore w:val="0"/>
        <w:kinsoku/>
        <w:wordWrap/>
        <w:overflowPunct/>
        <w:topLinePunct w:val="0"/>
        <w:autoSpaceDE/>
        <w:autoSpaceDN/>
        <w:bidi w:val="0"/>
        <w:spacing w:line="480" w:lineRule="exact"/>
        <w:outlineLvl w:val="9"/>
        <w:rPr>
          <w:rFonts w:hint="eastAsia" w:ascii="宋体" w:hAnsi="宋体" w:eastAsia="宋体"/>
          <w:b/>
          <w:bCs/>
          <w:color w:val="auto"/>
          <w:spacing w:val="15"/>
          <w:kern w:val="0"/>
          <w:sz w:val="28"/>
          <w:szCs w:val="28"/>
          <w:highlight w:val="none"/>
          <w:lang w:val="en-US" w:eastAsia="zh-CN"/>
        </w:rPr>
      </w:pPr>
    </w:p>
    <w:p w14:paraId="7F369905">
      <w:pPr>
        <w:keepNext w:val="0"/>
        <w:keepLines w:val="0"/>
        <w:pageBreakBefore w:val="0"/>
        <w:kinsoku/>
        <w:wordWrap/>
        <w:overflowPunct/>
        <w:topLinePunct w:val="0"/>
        <w:autoSpaceDE/>
        <w:autoSpaceDN/>
        <w:bidi w:val="0"/>
        <w:spacing w:line="480" w:lineRule="exact"/>
        <w:outlineLvl w:val="2"/>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附件4</w:t>
      </w:r>
    </w:p>
    <w:p w14:paraId="7548F1FD">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lang w:val="en-US" w:eastAsia="zh-CN"/>
        </w:rPr>
      </w:pPr>
      <w:r>
        <w:rPr>
          <w:rFonts w:hint="eastAsia" w:ascii="黑体" w:hAnsi="黑体" w:eastAsia="黑体" w:cs="黑体"/>
          <w:b/>
          <w:bCs/>
          <w:color w:val="auto"/>
          <w:spacing w:val="15"/>
          <w:kern w:val="0"/>
          <w:sz w:val="40"/>
          <w:szCs w:val="40"/>
          <w:highlight w:val="none"/>
          <w:lang w:val="en-US" w:eastAsia="zh-CN"/>
        </w:rPr>
        <w:t>法定代表人授权委托书</w:t>
      </w:r>
    </w:p>
    <w:p w14:paraId="63AE6A89">
      <w:pPr>
        <w:outlineLvl w:val="9"/>
        <w:rPr>
          <w:rFonts w:hint="eastAsia"/>
          <w:color w:val="auto"/>
          <w:highlight w:val="none"/>
        </w:rPr>
      </w:pPr>
    </w:p>
    <w:p w14:paraId="31A5CD28">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（单位全称）的法定代表人</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（法定代表人姓名、职务）</w:t>
      </w:r>
      <w:r>
        <w:rPr>
          <w:rFonts w:hint="eastAsia" w:ascii="仿宋" w:hAnsi="仿宋" w:eastAsia="仿宋" w:cs="仿宋"/>
          <w:color w:val="auto"/>
          <w:kern w:val="0"/>
          <w:sz w:val="28"/>
          <w:szCs w:val="28"/>
          <w:highlight w:val="none"/>
        </w:rPr>
        <w:t>授权</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（被授权人姓名、职务）为本单位的合法代理人，并将以本单位名义处理一切与</w:t>
      </w:r>
      <w:r>
        <w:rPr>
          <w:rFonts w:hint="eastAsia" w:ascii="仿宋" w:hAnsi="仿宋" w:eastAsia="仿宋" w:cs="仿宋"/>
          <w:color w:val="auto"/>
          <w:kern w:val="0"/>
          <w:sz w:val="28"/>
          <w:szCs w:val="28"/>
          <w:highlight w:val="none"/>
          <w:u w:val="single"/>
        </w:rPr>
        <w:t>　</w:t>
      </w:r>
      <w:r>
        <w:rPr>
          <w:rFonts w:hint="eastAsia" w:ascii="仿宋" w:hAnsi="仿宋" w:eastAsia="仿宋" w:cs="Times New Roman"/>
          <w:color w:val="auto"/>
          <w:kern w:val="0"/>
          <w:sz w:val="28"/>
          <w:szCs w:val="28"/>
          <w:highlight w:val="none"/>
          <w:u w:val="single"/>
          <w:lang w:val="en-US" w:eastAsia="zh-CN"/>
        </w:rPr>
        <w:t xml:space="preserve">G234常宁市新河至蒲竹公路工程一期工程项目改性沥青及沥青混凝土采购 </w:t>
      </w:r>
      <w:r>
        <w:rPr>
          <w:rFonts w:hint="eastAsia" w:ascii="仿宋" w:hAnsi="仿宋" w:eastAsia="仿宋" w:cs="仿宋"/>
          <w:color w:val="auto"/>
          <w:kern w:val="0"/>
          <w:sz w:val="28"/>
          <w:szCs w:val="28"/>
          <w:highlight w:val="none"/>
        </w:rPr>
        <w:t>投标活动中的有关事宜，代理人</w:t>
      </w:r>
      <w:r>
        <w:rPr>
          <w:rFonts w:hint="eastAsia" w:ascii="仿宋" w:hAnsi="仿宋" w:eastAsia="仿宋" w:cs="仿宋"/>
          <w:color w:val="auto"/>
          <w:kern w:val="0"/>
          <w:sz w:val="28"/>
          <w:szCs w:val="28"/>
          <w:highlight w:val="none"/>
          <w:u w:val="single"/>
        </w:rPr>
        <w:t>（被授权人）</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14:paraId="17194C52">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14:paraId="41D73145">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附：委托代理人身份证复印件（法定代表人身份证明，原件）</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A22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2735AF29">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委托代理人身份证复印件（正反面）</w:t>
            </w:r>
          </w:p>
        </w:tc>
      </w:tr>
    </w:tbl>
    <w:p w14:paraId="14083674">
      <w:pPr>
        <w:widowControl/>
        <w:topLinePunct/>
        <w:spacing w:line="620" w:lineRule="exact"/>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14:paraId="1D14C0AE">
      <w:pPr>
        <w:widowControl/>
        <w:topLinePunct/>
        <w:spacing w:line="620" w:lineRule="exact"/>
        <w:ind w:firstLine="19" w:firstLineChars="7"/>
        <w:outlineLvl w:val="9"/>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rPr>
        <w:t>法定代表人（签字或盖章）：</w:t>
      </w:r>
      <w:r>
        <w:rPr>
          <w:rFonts w:hint="eastAsia" w:ascii="仿宋" w:hAnsi="仿宋" w:eastAsia="仿宋" w:cs="仿宋"/>
          <w:color w:val="auto"/>
          <w:kern w:val="0"/>
          <w:sz w:val="28"/>
          <w:szCs w:val="28"/>
          <w:highlight w:val="none"/>
          <w:u w:val="single"/>
        </w:rPr>
        <w:t xml:space="preserve">                </w:t>
      </w:r>
    </w:p>
    <w:p w14:paraId="2AC17BFF">
      <w:pPr>
        <w:widowControl/>
        <w:topLinePunct/>
        <w:spacing w:line="620" w:lineRule="exact"/>
        <w:ind w:firstLine="19" w:firstLineChars="7"/>
        <w:outlineLvl w:val="9"/>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rPr>
        <w:t>法人授权代表（被授权人）（签字或盖章）：</w:t>
      </w:r>
      <w:r>
        <w:rPr>
          <w:rFonts w:hint="eastAsia" w:ascii="仿宋" w:hAnsi="仿宋" w:eastAsia="仿宋" w:cs="仿宋"/>
          <w:color w:val="auto"/>
          <w:kern w:val="0"/>
          <w:sz w:val="28"/>
          <w:szCs w:val="28"/>
          <w:highlight w:val="none"/>
          <w:u w:val="single"/>
        </w:rPr>
        <w:t xml:space="preserve">        </w:t>
      </w:r>
    </w:p>
    <w:p w14:paraId="19B1451E">
      <w:pPr>
        <w:pStyle w:val="5"/>
        <w:outlineLvl w:val="9"/>
        <w:rPr>
          <w:rFonts w:hint="eastAsia" w:ascii="仿宋" w:hAnsi="仿宋" w:eastAsia="仿宋" w:cs="仿宋"/>
          <w:color w:val="auto"/>
          <w:sz w:val="28"/>
          <w:szCs w:val="28"/>
          <w:highlight w:val="none"/>
        </w:rPr>
      </w:pPr>
    </w:p>
    <w:p w14:paraId="39159BE1">
      <w:pPr>
        <w:widowControl/>
        <w:topLinePunct/>
        <w:spacing w:line="620" w:lineRule="exact"/>
        <w:ind w:firstLine="20" w:firstLineChars="7"/>
        <w:jc w:val="right"/>
        <w:outlineLvl w:val="9"/>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　　　　</w:t>
      </w:r>
      <w:r>
        <w:rPr>
          <w:rFonts w:hint="eastAsia" w:ascii="仿宋" w:hAnsi="仿宋" w:eastAsia="仿宋" w:cs="仿宋"/>
          <w:color w:val="auto"/>
          <w:kern w:val="0"/>
          <w:sz w:val="28"/>
          <w:szCs w:val="28"/>
          <w:highlight w:val="none"/>
        </w:rPr>
        <w:t>年　　月　　日</w:t>
      </w:r>
    </w:p>
    <w:p w14:paraId="1C7FE512">
      <w:pPr>
        <w:widowControl/>
        <w:topLinePunct/>
        <w:spacing w:line="620" w:lineRule="exact"/>
        <w:outlineLvl w:val="9"/>
        <w:rPr>
          <w:rFonts w:ascii="宋体" w:hAnsi="宋体"/>
          <w:b/>
          <w:bCs/>
          <w:color w:val="auto"/>
          <w:kern w:val="0"/>
          <w:sz w:val="28"/>
          <w:szCs w:val="28"/>
          <w:highlight w:val="none"/>
        </w:rPr>
      </w:pPr>
      <w:r>
        <w:rPr>
          <w:rFonts w:hint="eastAsia" w:ascii="仿宋" w:hAnsi="仿宋" w:eastAsia="仿宋" w:cs="仿宋"/>
          <w:b/>
          <w:bCs/>
          <w:color w:val="auto"/>
          <w:kern w:val="0"/>
          <w:sz w:val="24"/>
          <w:szCs w:val="24"/>
          <w:highlight w:val="none"/>
        </w:rPr>
        <w:t>注：</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代表不是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法定代表人的，请另单独准备本授权委托书原件一份，身份验证时单独提交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同时需验被授权人身份证原件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b/>
          <w:bCs/>
          <w:color w:val="auto"/>
          <w:kern w:val="0"/>
          <w:sz w:val="24"/>
          <w:szCs w:val="24"/>
          <w:highlight w:val="none"/>
        </w:rPr>
        <w:t>。</w:t>
      </w:r>
      <w:r>
        <w:rPr>
          <w:rFonts w:hint="eastAsia" w:ascii="宋体" w:hAnsi="宋体"/>
          <w:b/>
          <w:bCs/>
          <w:color w:val="auto"/>
          <w:kern w:val="0"/>
          <w:sz w:val="28"/>
          <w:szCs w:val="28"/>
          <w:highlight w:val="none"/>
        </w:rPr>
        <w:br w:type="page"/>
      </w:r>
    </w:p>
    <w:p w14:paraId="721D09FE">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5</w:t>
      </w:r>
    </w:p>
    <w:p w14:paraId="1F8A938F">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lang w:val="en-US" w:eastAsia="zh-CN"/>
        </w:rPr>
        <w:t>参选人基本情况表</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140"/>
        <w:gridCol w:w="847"/>
        <w:gridCol w:w="588"/>
        <w:gridCol w:w="293"/>
        <w:gridCol w:w="1079"/>
        <w:gridCol w:w="1324"/>
        <w:gridCol w:w="1905"/>
      </w:tblGrid>
      <w:tr w14:paraId="08CA1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614" w:type="dxa"/>
            <w:gridSpan w:val="3"/>
            <w:tcBorders>
              <w:top w:val="double" w:color="auto" w:sz="4" w:space="0"/>
              <w:left w:val="double" w:color="auto" w:sz="4" w:space="0"/>
              <w:bottom w:val="single" w:color="auto" w:sz="6" w:space="0"/>
              <w:right w:val="single" w:color="auto" w:sz="6" w:space="0"/>
            </w:tcBorders>
            <w:vAlign w:val="center"/>
          </w:tcPr>
          <w:p w14:paraId="6818121B">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vAlign w:val="center"/>
          </w:tcPr>
          <w:p w14:paraId="1E9AF1DA">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double" w:color="auto" w:sz="4" w:space="0"/>
              <w:left w:val="single" w:color="auto" w:sz="6" w:space="0"/>
              <w:bottom w:val="single" w:color="auto" w:sz="6" w:space="0"/>
              <w:right w:val="single" w:color="auto" w:sz="6" w:space="0"/>
            </w:tcBorders>
            <w:vAlign w:val="center"/>
          </w:tcPr>
          <w:p w14:paraId="48C8A048">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w:t>
            </w:r>
          </w:p>
          <w:p w14:paraId="25273CDF">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代表人</w:t>
            </w:r>
          </w:p>
        </w:tc>
        <w:tc>
          <w:tcPr>
            <w:tcW w:w="1905" w:type="dxa"/>
            <w:tcBorders>
              <w:top w:val="double" w:color="auto" w:sz="4" w:space="0"/>
              <w:left w:val="single" w:color="auto" w:sz="6" w:space="0"/>
              <w:bottom w:val="single" w:color="auto" w:sz="6" w:space="0"/>
              <w:right w:val="double" w:color="auto" w:sz="4" w:space="0"/>
            </w:tcBorders>
            <w:vAlign w:val="center"/>
          </w:tcPr>
          <w:p w14:paraId="7959CAE3">
            <w:pPr>
              <w:topLinePunct/>
              <w:spacing w:line="440" w:lineRule="exact"/>
              <w:jc w:val="center"/>
              <w:outlineLvl w:val="9"/>
              <w:rPr>
                <w:rFonts w:hint="eastAsia" w:ascii="仿宋" w:hAnsi="仿宋" w:eastAsia="仿宋" w:cs="仿宋"/>
                <w:color w:val="auto"/>
                <w:sz w:val="24"/>
                <w:szCs w:val="24"/>
                <w:highlight w:val="none"/>
              </w:rPr>
            </w:pPr>
          </w:p>
        </w:tc>
      </w:tr>
      <w:tr w14:paraId="780D0F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04355C1B">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48AFB393">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04474B60">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905" w:type="dxa"/>
            <w:tcBorders>
              <w:top w:val="single" w:color="auto" w:sz="6" w:space="0"/>
              <w:left w:val="single" w:color="auto" w:sz="6" w:space="0"/>
              <w:bottom w:val="single" w:color="auto" w:sz="6" w:space="0"/>
              <w:right w:val="double" w:color="auto" w:sz="4" w:space="0"/>
            </w:tcBorders>
            <w:vAlign w:val="center"/>
          </w:tcPr>
          <w:p w14:paraId="3E027242">
            <w:pPr>
              <w:topLinePunct/>
              <w:spacing w:line="440" w:lineRule="exact"/>
              <w:jc w:val="center"/>
              <w:outlineLvl w:val="9"/>
              <w:rPr>
                <w:rFonts w:hint="eastAsia" w:ascii="仿宋" w:hAnsi="仿宋" w:eastAsia="仿宋" w:cs="仿宋"/>
                <w:color w:val="auto"/>
                <w:sz w:val="24"/>
                <w:szCs w:val="24"/>
                <w:highlight w:val="none"/>
              </w:rPr>
            </w:pPr>
          </w:p>
        </w:tc>
      </w:tr>
      <w:tr w14:paraId="1EDFE4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2B69E50A">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14:paraId="083D53ED">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33F75AEC">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4CDAC1BC">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905" w:type="dxa"/>
            <w:tcBorders>
              <w:top w:val="single" w:color="auto" w:sz="6" w:space="0"/>
              <w:left w:val="single" w:color="auto" w:sz="6" w:space="0"/>
              <w:bottom w:val="single" w:color="auto" w:sz="6" w:space="0"/>
              <w:right w:val="double" w:color="auto" w:sz="4" w:space="0"/>
            </w:tcBorders>
            <w:vAlign w:val="center"/>
          </w:tcPr>
          <w:p w14:paraId="1885D32D">
            <w:pPr>
              <w:topLinePunct/>
              <w:spacing w:line="440" w:lineRule="exact"/>
              <w:jc w:val="center"/>
              <w:outlineLvl w:val="9"/>
              <w:rPr>
                <w:rFonts w:hint="eastAsia" w:ascii="仿宋" w:hAnsi="仿宋" w:eastAsia="仿宋" w:cs="仿宋"/>
                <w:color w:val="auto"/>
                <w:sz w:val="24"/>
                <w:szCs w:val="24"/>
                <w:highlight w:val="none"/>
              </w:rPr>
            </w:pPr>
          </w:p>
        </w:tc>
      </w:tr>
      <w:tr w14:paraId="1E8EBB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63FD1371">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14:paraId="0A1B095A">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0EF8597A">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36E5CA87">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14:paraId="0B86EAA5">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905" w:type="dxa"/>
            <w:tcBorders>
              <w:top w:val="single" w:color="auto" w:sz="6" w:space="0"/>
              <w:left w:val="single" w:color="auto" w:sz="6" w:space="0"/>
              <w:bottom w:val="single" w:color="auto" w:sz="6" w:space="0"/>
              <w:right w:val="double" w:color="auto" w:sz="4" w:space="0"/>
            </w:tcBorders>
            <w:vAlign w:val="center"/>
          </w:tcPr>
          <w:p w14:paraId="36D17550">
            <w:pPr>
              <w:topLinePunct/>
              <w:spacing w:line="440" w:lineRule="exact"/>
              <w:jc w:val="center"/>
              <w:outlineLvl w:val="9"/>
              <w:rPr>
                <w:rFonts w:hint="eastAsia" w:ascii="仿宋" w:hAnsi="仿宋" w:eastAsia="仿宋" w:cs="仿宋"/>
                <w:color w:val="auto"/>
                <w:sz w:val="24"/>
                <w:szCs w:val="24"/>
                <w:highlight w:val="none"/>
              </w:rPr>
            </w:pPr>
          </w:p>
        </w:tc>
      </w:tr>
      <w:tr w14:paraId="3F1C2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vAlign w:val="center"/>
          </w:tcPr>
          <w:p w14:paraId="634A7E0D">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583C07D9">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435" w:type="dxa"/>
            <w:gridSpan w:val="2"/>
            <w:tcBorders>
              <w:top w:val="single" w:color="auto" w:sz="6" w:space="0"/>
              <w:left w:val="single" w:color="auto" w:sz="6" w:space="0"/>
              <w:bottom w:val="single" w:color="auto" w:sz="6" w:space="0"/>
              <w:right w:val="single" w:color="auto" w:sz="6" w:space="0"/>
            </w:tcBorders>
            <w:vAlign w:val="center"/>
          </w:tcPr>
          <w:p w14:paraId="1466C1E5">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14:paraId="3E42829B">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60C32943">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4E0108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2475AA46">
            <w:pPr>
              <w:topLinePunct/>
              <w:spacing w:line="440" w:lineRule="exact"/>
              <w:jc w:val="center"/>
              <w:outlineLvl w:val="9"/>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5E92BC77">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435" w:type="dxa"/>
            <w:gridSpan w:val="2"/>
            <w:tcBorders>
              <w:top w:val="single" w:color="auto" w:sz="6" w:space="0"/>
              <w:left w:val="single" w:color="auto" w:sz="6" w:space="0"/>
              <w:bottom w:val="single" w:color="auto" w:sz="6" w:space="0"/>
              <w:right w:val="single" w:color="auto" w:sz="6" w:space="0"/>
            </w:tcBorders>
            <w:vAlign w:val="center"/>
          </w:tcPr>
          <w:p w14:paraId="2E8883BA">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14:paraId="05F00D1E">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71F91B34">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2A1C1B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46C931CF">
            <w:pPr>
              <w:topLinePunct/>
              <w:spacing w:line="440" w:lineRule="exact"/>
              <w:jc w:val="center"/>
              <w:outlineLvl w:val="9"/>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4D993784">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4EB5B3D4">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4B2F96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710F387A">
            <w:pPr>
              <w:topLinePunct/>
              <w:spacing w:line="440" w:lineRule="exact"/>
              <w:jc w:val="center"/>
              <w:outlineLvl w:val="9"/>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0FC87A71">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6E9E004A">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0FA2DF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14:paraId="79F8F5E4">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68CA0FEC">
            <w:pPr>
              <w:topLinePunct/>
              <w:spacing w:line="440" w:lineRule="exact"/>
              <w:jc w:val="center"/>
              <w:outlineLvl w:val="9"/>
              <w:rPr>
                <w:rFonts w:hint="eastAsia" w:ascii="仿宋" w:hAnsi="仿宋" w:eastAsia="仿宋" w:cs="仿宋"/>
                <w:color w:val="auto"/>
                <w:sz w:val="24"/>
                <w:szCs w:val="24"/>
                <w:highlight w:val="none"/>
              </w:rPr>
            </w:pPr>
          </w:p>
        </w:tc>
      </w:tr>
      <w:tr w14:paraId="31B014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14:paraId="49400281">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4F6B621C">
            <w:pPr>
              <w:topLinePunct/>
              <w:spacing w:line="440" w:lineRule="exact"/>
              <w:jc w:val="center"/>
              <w:outlineLvl w:val="9"/>
              <w:rPr>
                <w:rFonts w:hint="eastAsia" w:ascii="仿宋" w:hAnsi="仿宋" w:eastAsia="仿宋" w:cs="仿宋"/>
                <w:color w:val="auto"/>
                <w:sz w:val="24"/>
                <w:szCs w:val="24"/>
                <w:highlight w:val="none"/>
              </w:rPr>
            </w:pPr>
          </w:p>
        </w:tc>
      </w:tr>
      <w:tr w14:paraId="2FC59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78BA2B58">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3B1E30C2">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vAlign w:val="center"/>
          </w:tcPr>
          <w:p w14:paraId="58E7B99D">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14:paraId="6EB4F9C3">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5A818964">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14:paraId="7814BB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507902CF">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7C47694A">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5230CF80">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075B739E">
            <w:pPr>
              <w:topLinePunct/>
              <w:spacing w:line="440" w:lineRule="exact"/>
              <w:jc w:val="center"/>
              <w:outlineLvl w:val="9"/>
              <w:rPr>
                <w:rFonts w:hint="eastAsia" w:ascii="仿宋" w:hAnsi="仿宋" w:eastAsia="仿宋" w:cs="仿宋"/>
                <w:color w:val="auto"/>
                <w:sz w:val="24"/>
                <w:szCs w:val="24"/>
                <w:highlight w:val="none"/>
              </w:rPr>
            </w:pPr>
          </w:p>
        </w:tc>
      </w:tr>
      <w:tr w14:paraId="53DEB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6C06F258">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754EC07C">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1E90BE8B">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06E88C3D">
            <w:pPr>
              <w:topLinePunct/>
              <w:spacing w:line="440" w:lineRule="exact"/>
              <w:jc w:val="center"/>
              <w:outlineLvl w:val="9"/>
              <w:rPr>
                <w:rFonts w:hint="eastAsia" w:ascii="仿宋" w:hAnsi="仿宋" w:eastAsia="仿宋" w:cs="仿宋"/>
                <w:color w:val="auto"/>
                <w:sz w:val="24"/>
                <w:szCs w:val="24"/>
                <w:highlight w:val="none"/>
              </w:rPr>
            </w:pPr>
          </w:p>
        </w:tc>
      </w:tr>
      <w:tr w14:paraId="532DB5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1C3F96CD">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35C671A9">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342DEBF1">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1300EB02">
            <w:pPr>
              <w:topLinePunct/>
              <w:spacing w:line="440" w:lineRule="exact"/>
              <w:jc w:val="center"/>
              <w:outlineLvl w:val="9"/>
              <w:rPr>
                <w:rFonts w:hint="eastAsia" w:ascii="仿宋" w:hAnsi="仿宋" w:eastAsia="仿宋" w:cs="仿宋"/>
                <w:color w:val="auto"/>
                <w:sz w:val="24"/>
                <w:szCs w:val="24"/>
                <w:highlight w:val="none"/>
              </w:rPr>
            </w:pPr>
          </w:p>
        </w:tc>
      </w:tr>
      <w:tr w14:paraId="211742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6" w:hRule="atLeast"/>
          <w:jc w:val="center"/>
        </w:trPr>
        <w:tc>
          <w:tcPr>
            <w:tcW w:w="1254" w:type="dxa"/>
            <w:gridSpan w:val="2"/>
            <w:tcBorders>
              <w:top w:val="single" w:color="auto" w:sz="6" w:space="0"/>
              <w:left w:val="double" w:color="auto" w:sz="4" w:space="0"/>
              <w:bottom w:val="double" w:color="auto" w:sz="4" w:space="0"/>
              <w:right w:val="single" w:color="auto" w:sz="6" w:space="0"/>
            </w:tcBorders>
            <w:vAlign w:val="center"/>
          </w:tcPr>
          <w:p w14:paraId="31B1EDAF">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vAlign w:val="center"/>
          </w:tcPr>
          <w:p w14:paraId="48A01C5E">
            <w:pPr>
              <w:topLinePunct/>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附《营业执照》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资质证书、安全生产许可证</w:t>
            </w:r>
            <w:r>
              <w:rPr>
                <w:rFonts w:hint="eastAsia" w:ascii="仿宋" w:hAnsi="仿宋" w:eastAsia="仿宋" w:cs="仿宋"/>
                <w:color w:val="auto"/>
                <w:sz w:val="24"/>
                <w:szCs w:val="24"/>
                <w:highlight w:val="none"/>
              </w:rPr>
              <w:t>（副本）复印件。</w:t>
            </w:r>
          </w:p>
        </w:tc>
      </w:tr>
    </w:tbl>
    <w:p w14:paraId="1255B5BF">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7C326D1B">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21FD6870">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14:paraId="61F98AAD">
      <w:pPr>
        <w:keepNext w:val="0"/>
        <w:keepLines w:val="0"/>
        <w:pageBreakBefore w:val="0"/>
        <w:kinsoku/>
        <w:wordWrap/>
        <w:overflowPunct/>
        <w:topLinePunct w:val="0"/>
        <w:autoSpaceDE/>
        <w:autoSpaceDN/>
        <w:bidi w:val="0"/>
        <w:spacing w:line="480" w:lineRule="exact"/>
        <w:ind w:firstLine="4760" w:firstLineChars="1700"/>
        <w:outlineLvl w:val="9"/>
        <w:rPr>
          <w:rFonts w:hint="eastAsia" w:ascii="宋体" w:hAnsi="宋体" w:eastAsia="宋体" w:cs="宋体"/>
          <w:b/>
          <w:bCs/>
          <w:color w:val="auto"/>
          <w:kern w:val="0"/>
          <w:sz w:val="28"/>
          <w:szCs w:val="28"/>
          <w:highlight w:val="none"/>
        </w:rPr>
      </w:pPr>
      <w:r>
        <w:rPr>
          <w:rFonts w:hint="eastAsia" w:ascii="仿宋" w:hAnsi="仿宋" w:eastAsia="仿宋"/>
          <w:color w:val="auto"/>
          <w:kern w:val="0"/>
          <w:sz w:val="28"/>
          <w:szCs w:val="28"/>
          <w:highlight w:val="none"/>
        </w:rPr>
        <w:t>日期：   年   月   日</w:t>
      </w:r>
    </w:p>
    <w:p w14:paraId="262617F3">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6</w:t>
      </w:r>
    </w:p>
    <w:p w14:paraId="0AA42032">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rPr>
        <w:t>报价</w:t>
      </w:r>
      <w:r>
        <w:rPr>
          <w:rFonts w:hint="eastAsia" w:ascii="黑体" w:hAnsi="黑体" w:eastAsia="黑体" w:cs="黑体"/>
          <w:b/>
          <w:bCs/>
          <w:color w:val="auto"/>
          <w:kern w:val="0"/>
          <w:sz w:val="40"/>
          <w:szCs w:val="40"/>
          <w:highlight w:val="none"/>
          <w:lang w:val="en-US" w:eastAsia="zh-CN"/>
        </w:rPr>
        <w:t>一览表</w:t>
      </w:r>
    </w:p>
    <w:tbl>
      <w:tblPr>
        <w:tblStyle w:val="15"/>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14:paraId="0B8995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vAlign w:val="center"/>
          </w:tcPr>
          <w:p w14:paraId="385114D5">
            <w:pPr>
              <w:tabs>
                <w:tab w:val="left" w:pos="403"/>
                <w:tab w:val="center" w:pos="3781"/>
              </w:tabs>
              <w:spacing w:line="420" w:lineRule="exact"/>
              <w:ind w:right="-76" w:rightChars="-36"/>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vAlign w:val="center"/>
          </w:tcPr>
          <w:p w14:paraId="359211DC">
            <w:pPr>
              <w:spacing w:line="420" w:lineRule="exact"/>
              <w:jc w:val="both"/>
              <w:outlineLvl w:val="9"/>
              <w:rPr>
                <w:rFonts w:hint="eastAsia" w:ascii="仿宋" w:hAnsi="仿宋" w:eastAsia="仿宋" w:cs="仿宋"/>
                <w:color w:val="auto"/>
                <w:sz w:val="28"/>
                <w:szCs w:val="28"/>
                <w:highlight w:val="none"/>
              </w:rPr>
            </w:pPr>
          </w:p>
        </w:tc>
      </w:tr>
      <w:tr w14:paraId="714A01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vAlign w:val="center"/>
          </w:tcPr>
          <w:p w14:paraId="18FF62F2">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内容</w:t>
            </w:r>
          </w:p>
        </w:tc>
        <w:tc>
          <w:tcPr>
            <w:tcW w:w="7879" w:type="dxa"/>
            <w:tcBorders>
              <w:top w:val="single" w:color="auto" w:sz="6" w:space="0"/>
              <w:left w:val="single" w:color="auto" w:sz="6" w:space="0"/>
              <w:bottom w:val="single" w:color="auto" w:sz="6" w:space="0"/>
              <w:right w:val="double" w:color="auto" w:sz="4" w:space="0"/>
            </w:tcBorders>
            <w:vAlign w:val="center"/>
          </w:tcPr>
          <w:p w14:paraId="5A5EDF05">
            <w:pPr>
              <w:adjustRightInd w:val="0"/>
              <w:snapToGrid w:val="0"/>
              <w:spacing w:line="380" w:lineRule="exact"/>
              <w:jc w:val="both"/>
              <w:outlineLvl w:val="9"/>
              <w:rPr>
                <w:rFonts w:hint="default" w:ascii="仿宋" w:hAnsi="仿宋" w:eastAsia="仿宋" w:cs="仿宋"/>
                <w:color w:val="auto"/>
                <w:sz w:val="28"/>
                <w:szCs w:val="28"/>
                <w:highlight w:val="none"/>
                <w:lang w:val="en-US" w:eastAsia="zh-CN"/>
              </w:rPr>
            </w:pPr>
          </w:p>
        </w:tc>
      </w:tr>
      <w:tr w14:paraId="7A0296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vAlign w:val="center"/>
          </w:tcPr>
          <w:p w14:paraId="4560DFED">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vAlign w:val="center"/>
          </w:tcPr>
          <w:p w14:paraId="18D0783D">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大写：</w:t>
            </w:r>
          </w:p>
          <w:p w14:paraId="2ED6F8F3">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p>
          <w:p w14:paraId="5A37A82A">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小写：</w:t>
            </w:r>
          </w:p>
        </w:tc>
      </w:tr>
      <w:tr w14:paraId="56ECB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14:paraId="10820DE5">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质量</w:t>
            </w:r>
          </w:p>
        </w:tc>
        <w:tc>
          <w:tcPr>
            <w:tcW w:w="7879" w:type="dxa"/>
            <w:tcBorders>
              <w:top w:val="single" w:color="auto" w:sz="6" w:space="0"/>
              <w:left w:val="single" w:color="auto" w:sz="6" w:space="0"/>
              <w:bottom w:val="single" w:color="auto" w:sz="6" w:space="0"/>
              <w:right w:val="double" w:color="auto" w:sz="4" w:space="0"/>
            </w:tcBorders>
            <w:vAlign w:val="center"/>
          </w:tcPr>
          <w:p w14:paraId="5811184C">
            <w:pPr>
              <w:spacing w:line="420" w:lineRule="exact"/>
              <w:outlineLvl w:val="9"/>
              <w:rPr>
                <w:rFonts w:hint="eastAsia" w:ascii="仿宋" w:hAnsi="仿宋" w:eastAsia="仿宋" w:cs="仿宋"/>
                <w:iCs/>
                <w:color w:val="auto"/>
                <w:sz w:val="28"/>
                <w:szCs w:val="28"/>
                <w:highlight w:val="none"/>
                <w:lang w:eastAsia="zh-CN"/>
              </w:rPr>
            </w:pPr>
            <w:r>
              <w:rPr>
                <w:rFonts w:hint="eastAsia" w:ascii="仿宋" w:hAnsi="仿宋" w:eastAsia="仿宋" w:cs="仿宋"/>
                <w:iCs/>
                <w:color w:val="auto"/>
                <w:sz w:val="28"/>
                <w:szCs w:val="28"/>
                <w:highlight w:val="none"/>
                <w:lang w:eastAsia="zh-CN"/>
              </w:rPr>
              <w:t>满足</w:t>
            </w:r>
            <w:r>
              <w:rPr>
                <w:rFonts w:hint="eastAsia" w:ascii="仿宋" w:hAnsi="仿宋" w:eastAsia="仿宋" w:cs="仿宋"/>
                <w:iCs/>
                <w:color w:val="auto"/>
                <w:sz w:val="28"/>
                <w:szCs w:val="28"/>
                <w:highlight w:val="none"/>
                <w:lang w:val="en-US" w:eastAsia="zh-CN"/>
              </w:rPr>
              <w:t>比选</w:t>
            </w:r>
            <w:r>
              <w:rPr>
                <w:rFonts w:hint="eastAsia" w:ascii="仿宋" w:hAnsi="仿宋" w:eastAsia="仿宋" w:cs="仿宋"/>
                <w:iCs/>
                <w:color w:val="auto"/>
                <w:sz w:val="28"/>
                <w:szCs w:val="28"/>
                <w:highlight w:val="none"/>
                <w:lang w:eastAsia="zh-CN"/>
              </w:rPr>
              <w:t>文件要求。</w:t>
            </w:r>
          </w:p>
        </w:tc>
      </w:tr>
      <w:tr w14:paraId="7A7756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14:paraId="18B520DD">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项目负</w:t>
            </w:r>
          </w:p>
          <w:p w14:paraId="42BA5DE9">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vAlign w:val="center"/>
          </w:tcPr>
          <w:p w14:paraId="2C2337D2">
            <w:pPr>
              <w:spacing w:line="420" w:lineRule="exact"/>
              <w:ind w:firstLine="280" w:firstLineChars="100"/>
              <w:outlineLvl w:val="9"/>
              <w:rPr>
                <w:rFonts w:hint="eastAsia" w:ascii="仿宋" w:hAnsi="仿宋" w:eastAsia="仿宋" w:cs="仿宋"/>
                <w:color w:val="auto"/>
                <w:sz w:val="28"/>
                <w:szCs w:val="28"/>
                <w:highlight w:val="none"/>
              </w:rPr>
            </w:pPr>
          </w:p>
        </w:tc>
      </w:tr>
      <w:tr w14:paraId="02E713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vAlign w:val="center"/>
          </w:tcPr>
          <w:p w14:paraId="32B0E18A">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vAlign w:val="center"/>
          </w:tcPr>
          <w:p w14:paraId="5829AE06">
            <w:pPr>
              <w:spacing w:line="420" w:lineRule="exact"/>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1.本项目最高投标限价为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highlight w:val="none"/>
                <w:u w:val="single"/>
                <w:lang w:val="en-US" w:eastAsia="zh-CN"/>
              </w:rPr>
              <w:t>4467600</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元，投标报价不得高于最高投标限价。一般须附报价清单。                                                                2.报价一览表与报价清单部分单独封装并盖单位公章。</w:t>
            </w:r>
          </w:p>
        </w:tc>
      </w:tr>
    </w:tbl>
    <w:p w14:paraId="08245ED6">
      <w:pPr>
        <w:keepNext w:val="0"/>
        <w:keepLines w:val="0"/>
        <w:pageBreakBefore w:val="0"/>
        <w:widowControl/>
        <w:kinsoku/>
        <w:wordWrap/>
        <w:overflowPunct/>
        <w:topLinePunct w:val="0"/>
        <w:autoSpaceDE/>
        <w:autoSpaceDN/>
        <w:bidi w:val="0"/>
        <w:spacing w:line="480" w:lineRule="exact"/>
        <w:jc w:val="center"/>
        <w:outlineLvl w:val="9"/>
        <w:rPr>
          <w:b/>
          <w:bCs/>
          <w:color w:val="auto"/>
          <w:kern w:val="0"/>
          <w:sz w:val="28"/>
          <w:szCs w:val="28"/>
          <w:highlight w:val="none"/>
        </w:rPr>
      </w:pPr>
    </w:p>
    <w:p w14:paraId="1986328D">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4A2C2AE4">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2B4F33EF">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2A1B2326">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14:paraId="240A4497">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61DCFCB9">
      <w:pPr>
        <w:keepNext w:val="0"/>
        <w:keepLines w:val="0"/>
        <w:pageBreakBefore w:val="0"/>
        <w:kinsoku/>
        <w:wordWrap/>
        <w:overflowPunct/>
        <w:topLinePunct w:val="0"/>
        <w:autoSpaceDE/>
        <w:autoSpaceDN/>
        <w:bidi w:val="0"/>
        <w:spacing w:line="480" w:lineRule="exact"/>
        <w:ind w:firstLine="4760" w:firstLineChars="1700"/>
        <w:outlineLvl w:val="9"/>
        <w:rPr>
          <w:rFonts w:hint="eastAsia"/>
          <w:color w:val="auto"/>
          <w:highlight w:val="none"/>
        </w:rPr>
      </w:pPr>
      <w:r>
        <w:rPr>
          <w:rFonts w:hint="eastAsia" w:ascii="仿宋" w:hAnsi="仿宋" w:eastAsia="仿宋"/>
          <w:color w:val="auto"/>
          <w:kern w:val="0"/>
          <w:sz w:val="28"/>
          <w:szCs w:val="28"/>
          <w:highlight w:val="none"/>
        </w:rPr>
        <w:t>日期：   年   月   日</w:t>
      </w:r>
    </w:p>
    <w:p w14:paraId="3179715B">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7B67DA93">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68CBF6DC">
      <w:pPr>
        <w:keepNext w:val="0"/>
        <w:keepLines w:val="0"/>
        <w:pageBreakBefore w:val="0"/>
        <w:widowControl/>
        <w:kinsoku/>
        <w:wordWrap/>
        <w:overflowPunct/>
        <w:topLinePunct w:val="0"/>
        <w:autoSpaceDE/>
        <w:autoSpaceDN/>
        <w:bidi w:val="0"/>
        <w:spacing w:line="480" w:lineRule="exact"/>
        <w:ind w:firstLine="280" w:firstLineChars="100"/>
        <w:outlineLvl w:val="9"/>
        <w:rPr>
          <w:rFonts w:hint="eastAsia" w:ascii="宋体" w:hAnsi="宋体" w:cs="宋体"/>
          <w:b/>
          <w:bCs/>
          <w:color w:val="auto"/>
          <w:kern w:val="0"/>
          <w:sz w:val="28"/>
          <w:szCs w:val="28"/>
          <w:highlight w:val="none"/>
          <w:lang w:val="en-US" w:eastAsia="zh-CN"/>
        </w:rPr>
      </w:pPr>
    </w:p>
    <w:p w14:paraId="20BDEB32">
      <w:pPr>
        <w:keepNext w:val="0"/>
        <w:keepLines w:val="0"/>
        <w:pageBreakBefore w:val="0"/>
        <w:widowControl/>
        <w:kinsoku/>
        <w:wordWrap/>
        <w:overflowPunct/>
        <w:topLinePunct w:val="0"/>
        <w:autoSpaceDE/>
        <w:autoSpaceDN/>
        <w:bidi w:val="0"/>
        <w:spacing w:line="480" w:lineRule="exact"/>
        <w:ind w:firstLine="280" w:firstLineChars="100"/>
        <w:outlineLvl w:val="9"/>
        <w:rPr>
          <w:rFonts w:hint="eastAsia" w:ascii="宋体" w:hAnsi="宋体" w:eastAsia="宋体" w:cs="宋体"/>
          <w:b/>
          <w:bCs/>
          <w:color w:val="auto"/>
          <w:kern w:val="0"/>
          <w:sz w:val="28"/>
          <w:szCs w:val="28"/>
          <w:highlight w:val="none"/>
        </w:rPr>
      </w:pPr>
      <w:r>
        <w:rPr>
          <w:rFonts w:hint="eastAsia" w:ascii="宋体" w:hAnsi="宋体" w:cs="宋体"/>
          <w:b/>
          <w:bCs/>
          <w:color w:val="auto"/>
          <w:kern w:val="0"/>
          <w:sz w:val="28"/>
          <w:szCs w:val="28"/>
          <w:highlight w:val="none"/>
          <w:lang w:val="en-US" w:eastAsia="zh-CN"/>
        </w:rPr>
        <w:t xml:space="preserve">附件6-1   </w:t>
      </w:r>
    </w:p>
    <w:p w14:paraId="178A3B1D">
      <w:pPr>
        <w:ind w:firstLine="420" w:firstLineChars="0"/>
        <w:jc w:val="center"/>
        <w:rPr>
          <w:rFonts w:hint="eastAsia"/>
          <w:color w:val="auto"/>
          <w:sz w:val="32"/>
          <w:szCs w:val="32"/>
          <w:highlight w:val="none"/>
          <w:lang w:val="en-US" w:eastAsia="zh-CN"/>
        </w:rPr>
      </w:pPr>
      <w:r>
        <w:rPr>
          <w:rFonts w:hint="eastAsia"/>
          <w:color w:val="auto"/>
          <w:sz w:val="32"/>
          <w:szCs w:val="32"/>
          <w:highlight w:val="none"/>
          <w:u w:val="single"/>
          <w:lang w:val="en-US" w:eastAsia="zh-CN"/>
        </w:rPr>
        <w:t xml:space="preserve"> 改性沥青及沥青混凝土 </w:t>
      </w:r>
      <w:r>
        <w:rPr>
          <w:rFonts w:hint="eastAsia"/>
          <w:color w:val="auto"/>
          <w:sz w:val="32"/>
          <w:szCs w:val="32"/>
          <w:highlight w:val="none"/>
          <w:lang w:val="en-US" w:eastAsia="zh-CN"/>
        </w:rPr>
        <w:t>材料报价单</w:t>
      </w:r>
    </w:p>
    <w:p w14:paraId="6BAFC6DD">
      <w:pPr>
        <w:keepNext w:val="0"/>
        <w:keepLines w:val="0"/>
        <w:widowControl/>
        <w:suppressLineNumbers w:val="0"/>
        <w:jc w:val="left"/>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报价人：</w:t>
      </w:r>
    </w:p>
    <w:tbl>
      <w:tblPr>
        <w:tblStyle w:val="16"/>
        <w:tblpPr w:leftFromText="180" w:rightFromText="180" w:vertAnchor="text" w:horzAnchor="page" w:tblpXSpec="center" w:tblpY="130"/>
        <w:tblOverlap w:val="never"/>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235"/>
        <w:gridCol w:w="1247"/>
        <w:gridCol w:w="1206"/>
        <w:gridCol w:w="1206"/>
        <w:gridCol w:w="1180"/>
        <w:gridCol w:w="1291"/>
        <w:gridCol w:w="1246"/>
      </w:tblGrid>
      <w:tr w14:paraId="22D0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53" w:type="dxa"/>
            <w:vAlign w:val="center"/>
          </w:tcPr>
          <w:p w14:paraId="5FFA0621">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序号</w:t>
            </w:r>
          </w:p>
        </w:tc>
        <w:tc>
          <w:tcPr>
            <w:tcW w:w="1235" w:type="dxa"/>
            <w:vAlign w:val="center"/>
          </w:tcPr>
          <w:p w14:paraId="0CF8FAB8">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材料名称</w:t>
            </w:r>
          </w:p>
        </w:tc>
        <w:tc>
          <w:tcPr>
            <w:tcW w:w="1247" w:type="dxa"/>
            <w:vAlign w:val="center"/>
          </w:tcPr>
          <w:p w14:paraId="646CD6D1">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规格、型号</w:t>
            </w:r>
          </w:p>
        </w:tc>
        <w:tc>
          <w:tcPr>
            <w:tcW w:w="1206" w:type="dxa"/>
            <w:vAlign w:val="center"/>
          </w:tcPr>
          <w:p w14:paraId="02F5D37D">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单位</w:t>
            </w:r>
          </w:p>
        </w:tc>
        <w:tc>
          <w:tcPr>
            <w:tcW w:w="1206" w:type="dxa"/>
            <w:vAlign w:val="center"/>
          </w:tcPr>
          <w:p w14:paraId="1C47E791">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预估数量</w:t>
            </w:r>
          </w:p>
        </w:tc>
        <w:tc>
          <w:tcPr>
            <w:tcW w:w="1180" w:type="dxa"/>
            <w:vAlign w:val="center"/>
          </w:tcPr>
          <w:p w14:paraId="331A5FAB">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单价（元/㎡）</w:t>
            </w:r>
          </w:p>
        </w:tc>
        <w:tc>
          <w:tcPr>
            <w:tcW w:w="1291" w:type="dxa"/>
            <w:vAlign w:val="center"/>
          </w:tcPr>
          <w:p w14:paraId="56EFE07D">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金额（元）</w:t>
            </w:r>
          </w:p>
        </w:tc>
        <w:tc>
          <w:tcPr>
            <w:tcW w:w="1246" w:type="dxa"/>
            <w:vAlign w:val="center"/>
          </w:tcPr>
          <w:p w14:paraId="28BBBAC9">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备注</w:t>
            </w:r>
          </w:p>
        </w:tc>
      </w:tr>
      <w:tr w14:paraId="3EA8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53" w:type="dxa"/>
            <w:shd w:val="clear" w:color="auto" w:fill="auto"/>
            <w:vAlign w:val="center"/>
          </w:tcPr>
          <w:p w14:paraId="3B255C9E">
            <w:pPr>
              <w:widowControl w:val="0"/>
              <w:jc w:val="center"/>
              <w:rPr>
                <w:rFonts w:hint="default" w:ascii="宋体" w:hAnsi="宋体" w:eastAsia="宋体" w:cs="宋体"/>
                <w:color w:val="auto"/>
                <w:kern w:val="0"/>
                <w:sz w:val="21"/>
                <w:szCs w:val="21"/>
                <w:highlight w:val="none"/>
                <w:lang w:val="en-US" w:eastAsia="zh-CN" w:bidi="ar-SA"/>
              </w:rPr>
            </w:pPr>
            <w:r>
              <w:rPr>
                <w:rFonts w:hint="eastAsia"/>
                <w:color w:val="auto"/>
                <w:sz w:val="24"/>
                <w:szCs w:val="24"/>
                <w:highlight w:val="none"/>
                <w:vertAlign w:val="baseline"/>
                <w:lang w:val="en-US" w:eastAsia="zh-CN"/>
              </w:rPr>
              <w:t>1</w:t>
            </w:r>
          </w:p>
        </w:tc>
        <w:tc>
          <w:tcPr>
            <w:tcW w:w="1235" w:type="dxa"/>
            <w:shd w:val="clear" w:color="auto" w:fill="auto"/>
            <w:vAlign w:val="center"/>
          </w:tcPr>
          <w:p w14:paraId="65E40439">
            <w:pPr>
              <w:keepNext w:val="0"/>
              <w:keepLines w:val="0"/>
              <w:widowControl/>
              <w:suppressLineNumbers w:val="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40mm细粒式</w:t>
            </w:r>
            <w:r>
              <w:rPr>
                <w:rFonts w:hint="eastAsia" w:ascii="宋体" w:hAnsi="宋体" w:cs="宋体"/>
                <w:i w:val="0"/>
                <w:iCs w:val="0"/>
                <w:color w:val="auto"/>
                <w:kern w:val="0"/>
                <w:sz w:val="22"/>
                <w:szCs w:val="22"/>
                <w:highlight w:val="none"/>
                <w:u w:val="none"/>
                <w:lang w:val="en-US" w:eastAsia="zh-CN" w:bidi="ar"/>
              </w:rPr>
              <w:t>改性沥青混凝土</w:t>
            </w:r>
          </w:p>
        </w:tc>
        <w:tc>
          <w:tcPr>
            <w:tcW w:w="1247" w:type="dxa"/>
            <w:shd w:val="clear" w:color="auto" w:fill="auto"/>
            <w:vAlign w:val="center"/>
          </w:tcPr>
          <w:p w14:paraId="605A8B3D">
            <w:pPr>
              <w:keepNext w:val="0"/>
              <w:keepLines w:val="0"/>
              <w:widowControl/>
              <w:suppressLineNumbers w:val="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AC-13C</w:t>
            </w:r>
          </w:p>
        </w:tc>
        <w:tc>
          <w:tcPr>
            <w:tcW w:w="1206" w:type="dxa"/>
            <w:shd w:val="clear" w:color="auto" w:fill="auto"/>
            <w:vAlign w:val="center"/>
          </w:tcPr>
          <w:p w14:paraId="6E9CC789">
            <w:pPr>
              <w:keepNext w:val="0"/>
              <w:keepLines w:val="0"/>
              <w:widowControl/>
              <w:suppressLineNumbers w:val="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w:t>
            </w:r>
          </w:p>
        </w:tc>
        <w:tc>
          <w:tcPr>
            <w:tcW w:w="1206" w:type="dxa"/>
            <w:shd w:val="clear" w:color="auto" w:fill="auto"/>
            <w:vAlign w:val="center"/>
          </w:tcPr>
          <w:p w14:paraId="4810E282">
            <w:pPr>
              <w:keepNext w:val="0"/>
              <w:keepLines w:val="0"/>
              <w:widowControl/>
              <w:suppressLineNumbers w:val="0"/>
              <w:jc w:val="center"/>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cs="宋体"/>
                <w:i w:val="0"/>
                <w:iCs w:val="0"/>
                <w:color w:val="auto"/>
                <w:kern w:val="0"/>
                <w:sz w:val="22"/>
                <w:szCs w:val="22"/>
                <w:highlight w:val="none"/>
                <w:u w:val="none"/>
                <w:lang w:val="en-US" w:eastAsia="zh-CN" w:bidi="ar"/>
              </w:rPr>
              <w:t>60000</w:t>
            </w:r>
            <w:r>
              <w:rPr>
                <w:rFonts w:hint="eastAsia" w:ascii="宋体" w:hAnsi="宋体" w:eastAsia="宋体" w:cs="宋体"/>
                <w:i w:val="0"/>
                <w:iCs w:val="0"/>
                <w:color w:val="auto"/>
                <w:kern w:val="0"/>
                <w:sz w:val="22"/>
                <w:szCs w:val="22"/>
                <w:highlight w:val="none"/>
                <w:u w:val="none"/>
                <w:lang w:val="en-US" w:eastAsia="zh-CN" w:bidi="ar"/>
              </w:rPr>
              <w:t xml:space="preserve"> </w:t>
            </w:r>
          </w:p>
        </w:tc>
        <w:tc>
          <w:tcPr>
            <w:tcW w:w="1180" w:type="dxa"/>
            <w:vAlign w:val="center"/>
          </w:tcPr>
          <w:p w14:paraId="568D37FD">
            <w:pPr>
              <w:keepNext w:val="0"/>
              <w:keepLines w:val="0"/>
              <w:widowControl/>
              <w:suppressLineNumbers w:val="0"/>
              <w:jc w:val="center"/>
              <w:textAlignment w:val="center"/>
              <w:rPr>
                <w:rFonts w:hint="default"/>
                <w:color w:val="auto"/>
                <w:sz w:val="24"/>
                <w:szCs w:val="24"/>
                <w:highlight w:val="none"/>
                <w:vertAlign w:val="baseline"/>
                <w:lang w:val="en-US" w:eastAsia="zh-CN"/>
              </w:rPr>
            </w:pPr>
          </w:p>
        </w:tc>
        <w:tc>
          <w:tcPr>
            <w:tcW w:w="1291" w:type="dxa"/>
            <w:shd w:val="clear" w:color="auto" w:fill="auto"/>
            <w:vAlign w:val="center"/>
          </w:tcPr>
          <w:p w14:paraId="30CA80B7">
            <w:pPr>
              <w:keepNext w:val="0"/>
              <w:keepLines w:val="0"/>
              <w:widowControl/>
              <w:suppressLineNumbers w:val="0"/>
              <w:jc w:val="center"/>
              <w:textAlignment w:val="center"/>
              <w:rPr>
                <w:rFonts w:hint="default" w:ascii="Times New Roman" w:hAnsi="Times New Roman" w:eastAsia="宋体" w:cs="Times New Roman"/>
                <w:color w:val="auto"/>
                <w:kern w:val="2"/>
                <w:sz w:val="24"/>
                <w:szCs w:val="24"/>
                <w:highlight w:val="none"/>
                <w:vertAlign w:val="baseline"/>
                <w:lang w:val="en-US" w:eastAsia="zh-CN" w:bidi="ar-SA"/>
              </w:rPr>
            </w:pPr>
          </w:p>
        </w:tc>
        <w:tc>
          <w:tcPr>
            <w:tcW w:w="1246" w:type="dxa"/>
            <w:vAlign w:val="center"/>
          </w:tcPr>
          <w:p w14:paraId="627420F7">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单价包括拌和、材料等</w:t>
            </w:r>
            <w:r>
              <w:rPr>
                <w:rFonts w:hint="eastAsia" w:ascii="宋体" w:hAnsi="宋体" w:cs="宋体"/>
                <w:color w:val="auto"/>
                <w:kern w:val="0"/>
                <w:szCs w:val="21"/>
                <w:highlight w:val="none"/>
              </w:rPr>
              <w:t>一切费用</w:t>
            </w:r>
          </w:p>
        </w:tc>
      </w:tr>
      <w:tr w14:paraId="174C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53" w:type="dxa"/>
            <w:vAlign w:val="center"/>
          </w:tcPr>
          <w:p w14:paraId="04E05B96">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2</w:t>
            </w:r>
          </w:p>
        </w:tc>
        <w:tc>
          <w:tcPr>
            <w:tcW w:w="1235" w:type="dxa"/>
            <w:shd w:val="clear" w:color="auto" w:fill="auto"/>
            <w:vAlign w:val="center"/>
          </w:tcPr>
          <w:p w14:paraId="1B3C1BE7">
            <w:pPr>
              <w:keepNext w:val="0"/>
              <w:keepLines w:val="0"/>
              <w:widowControl/>
              <w:suppressLineNumbers w:val="0"/>
              <w:jc w:val="center"/>
              <w:textAlignment w:val="center"/>
              <w:rPr>
                <w:rFonts w:hint="default" w:ascii="仿宋" w:hAnsi="仿宋" w:eastAsia="仿宋" w:cs="仿宋"/>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50mm中粒式</w:t>
            </w:r>
            <w:r>
              <w:rPr>
                <w:rFonts w:hint="eastAsia" w:ascii="宋体" w:hAnsi="宋体" w:cs="宋体"/>
                <w:i w:val="0"/>
                <w:iCs w:val="0"/>
                <w:color w:val="auto"/>
                <w:kern w:val="0"/>
                <w:sz w:val="22"/>
                <w:szCs w:val="22"/>
                <w:highlight w:val="none"/>
                <w:u w:val="none"/>
                <w:lang w:val="en-US" w:eastAsia="zh-CN" w:bidi="ar"/>
              </w:rPr>
              <w:t>沥青混凝土</w:t>
            </w:r>
          </w:p>
        </w:tc>
        <w:tc>
          <w:tcPr>
            <w:tcW w:w="1247" w:type="dxa"/>
            <w:shd w:val="clear" w:color="auto" w:fill="auto"/>
            <w:vAlign w:val="center"/>
          </w:tcPr>
          <w:p w14:paraId="7F5C388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rPr>
              <w:t>AC-20C</w:t>
            </w:r>
          </w:p>
        </w:tc>
        <w:tc>
          <w:tcPr>
            <w:tcW w:w="1206" w:type="dxa"/>
            <w:shd w:val="clear" w:color="auto" w:fill="auto"/>
            <w:vAlign w:val="center"/>
          </w:tcPr>
          <w:p w14:paraId="6FDF81BD">
            <w:pPr>
              <w:keepNext w:val="0"/>
              <w:keepLines w:val="0"/>
              <w:widowControl/>
              <w:suppressLineNumbers w:val="0"/>
              <w:jc w:val="center"/>
              <w:textAlignment w:val="center"/>
              <w:rPr>
                <w:rFonts w:hint="default" w:ascii="Calibri" w:hAnsi="Calibri"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0"/>
                <w:sz w:val="21"/>
                <w:szCs w:val="21"/>
                <w:highlight w:val="none"/>
                <w:lang w:val="en-US" w:eastAsia="zh-CN" w:bidi="ar-SA"/>
              </w:rPr>
              <w:t>㎡</w:t>
            </w:r>
          </w:p>
        </w:tc>
        <w:tc>
          <w:tcPr>
            <w:tcW w:w="1206" w:type="dxa"/>
            <w:vAlign w:val="center"/>
          </w:tcPr>
          <w:p w14:paraId="7096373E">
            <w:pPr>
              <w:keepNext w:val="0"/>
              <w:keepLines w:val="0"/>
              <w:widowControl/>
              <w:suppressLineNumbers w:val="0"/>
              <w:jc w:val="center"/>
              <w:textAlignment w:val="center"/>
              <w:rPr>
                <w:rFonts w:hint="default"/>
                <w:color w:val="auto"/>
                <w:sz w:val="24"/>
                <w:szCs w:val="24"/>
                <w:highlight w:val="none"/>
                <w:vertAlign w:val="baseline"/>
                <w:lang w:val="en-US" w:eastAsia="zh-CN"/>
              </w:rPr>
            </w:pPr>
            <w:r>
              <w:rPr>
                <w:rFonts w:hint="eastAsia" w:ascii="宋体" w:hAnsi="宋体" w:cs="宋体"/>
                <w:i w:val="0"/>
                <w:iCs w:val="0"/>
                <w:color w:val="auto"/>
                <w:kern w:val="0"/>
                <w:sz w:val="22"/>
                <w:szCs w:val="22"/>
                <w:highlight w:val="none"/>
                <w:u w:val="none"/>
                <w:lang w:val="en-US" w:eastAsia="zh-CN" w:bidi="ar"/>
              </w:rPr>
              <w:t>60000</w:t>
            </w:r>
            <w:r>
              <w:rPr>
                <w:rFonts w:hint="eastAsia" w:ascii="宋体" w:hAnsi="宋体" w:eastAsia="宋体" w:cs="宋体"/>
                <w:i w:val="0"/>
                <w:iCs w:val="0"/>
                <w:color w:val="auto"/>
                <w:kern w:val="0"/>
                <w:sz w:val="22"/>
                <w:szCs w:val="22"/>
                <w:highlight w:val="none"/>
                <w:u w:val="none"/>
                <w:lang w:val="en-US" w:eastAsia="zh-CN" w:bidi="ar"/>
              </w:rPr>
              <w:t xml:space="preserve"> </w:t>
            </w:r>
          </w:p>
        </w:tc>
        <w:tc>
          <w:tcPr>
            <w:tcW w:w="1180" w:type="dxa"/>
            <w:vAlign w:val="center"/>
          </w:tcPr>
          <w:p w14:paraId="75C5E7D9">
            <w:pPr>
              <w:keepNext w:val="0"/>
              <w:keepLines w:val="0"/>
              <w:widowControl/>
              <w:suppressLineNumbers w:val="0"/>
              <w:jc w:val="center"/>
              <w:textAlignment w:val="center"/>
              <w:rPr>
                <w:rFonts w:hint="default"/>
                <w:color w:val="auto"/>
                <w:sz w:val="24"/>
                <w:szCs w:val="24"/>
                <w:highlight w:val="none"/>
                <w:vertAlign w:val="baseline"/>
                <w:lang w:val="en-US" w:eastAsia="zh-CN"/>
              </w:rPr>
            </w:pPr>
          </w:p>
        </w:tc>
        <w:tc>
          <w:tcPr>
            <w:tcW w:w="1291" w:type="dxa"/>
            <w:shd w:val="clear" w:color="auto" w:fill="auto"/>
            <w:vAlign w:val="center"/>
          </w:tcPr>
          <w:p w14:paraId="6D326725">
            <w:pPr>
              <w:keepNext w:val="0"/>
              <w:keepLines w:val="0"/>
              <w:widowControl/>
              <w:suppressLineNumbers w:val="0"/>
              <w:jc w:val="center"/>
              <w:textAlignment w:val="center"/>
              <w:rPr>
                <w:rFonts w:hint="default" w:ascii="Times New Roman" w:hAnsi="Times New Roman" w:eastAsia="宋体" w:cs="Times New Roman"/>
                <w:color w:val="auto"/>
                <w:kern w:val="2"/>
                <w:sz w:val="24"/>
                <w:szCs w:val="24"/>
                <w:highlight w:val="none"/>
                <w:vertAlign w:val="baseline"/>
                <w:lang w:val="en-US" w:eastAsia="zh-CN" w:bidi="ar-SA"/>
              </w:rPr>
            </w:pPr>
          </w:p>
        </w:tc>
        <w:tc>
          <w:tcPr>
            <w:tcW w:w="1246" w:type="dxa"/>
            <w:shd w:val="clear" w:color="auto" w:fill="auto"/>
            <w:vAlign w:val="center"/>
          </w:tcPr>
          <w:p w14:paraId="6FFBFF04">
            <w:pPr>
              <w:widowControl w:val="0"/>
              <w:jc w:val="center"/>
              <w:rPr>
                <w:rFonts w:hint="default" w:ascii="Calibri" w:hAnsi="Calibri" w:eastAsia="宋体" w:cs="宋体"/>
                <w:color w:val="auto"/>
                <w:kern w:val="2"/>
                <w:sz w:val="24"/>
                <w:szCs w:val="24"/>
                <w:highlight w:val="none"/>
                <w:vertAlign w:val="baseline"/>
                <w:lang w:val="en-US" w:eastAsia="zh-CN" w:bidi="ar-SA"/>
              </w:rPr>
            </w:pPr>
            <w:r>
              <w:rPr>
                <w:rFonts w:hint="eastAsia" w:ascii="Calibri" w:hAnsi="Calibri" w:cs="宋体"/>
                <w:color w:val="auto"/>
                <w:kern w:val="2"/>
                <w:sz w:val="24"/>
                <w:szCs w:val="24"/>
                <w:highlight w:val="none"/>
                <w:vertAlign w:val="baseline"/>
                <w:lang w:val="en-US" w:eastAsia="zh-CN" w:bidi="ar-SA"/>
              </w:rPr>
              <w:t>单价包括拌和、材料等</w:t>
            </w:r>
            <w:r>
              <w:rPr>
                <w:rFonts w:hint="eastAsia" w:ascii="宋体" w:hAnsi="宋体" w:cs="宋体"/>
                <w:color w:val="auto"/>
                <w:kern w:val="0"/>
                <w:szCs w:val="21"/>
                <w:highlight w:val="none"/>
              </w:rPr>
              <w:t>一切费用</w:t>
            </w:r>
          </w:p>
        </w:tc>
      </w:tr>
      <w:tr w14:paraId="4B68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753" w:type="dxa"/>
            <w:vAlign w:val="center"/>
          </w:tcPr>
          <w:p w14:paraId="4421B9E7">
            <w:pPr>
              <w:widowControl w:val="0"/>
              <w:jc w:val="center"/>
              <w:rPr>
                <w:rFonts w:hint="default"/>
                <w:color w:val="auto"/>
                <w:sz w:val="24"/>
                <w:szCs w:val="24"/>
                <w:highlight w:val="none"/>
                <w:vertAlign w:val="baseline"/>
                <w:lang w:val="en-US" w:eastAsia="zh-CN"/>
              </w:rPr>
            </w:pPr>
          </w:p>
        </w:tc>
        <w:tc>
          <w:tcPr>
            <w:tcW w:w="1235" w:type="dxa"/>
            <w:shd w:val="clear" w:color="auto" w:fill="auto"/>
            <w:vAlign w:val="center"/>
          </w:tcPr>
          <w:p w14:paraId="301E2D2F">
            <w:pPr>
              <w:keepNext w:val="0"/>
              <w:keepLines w:val="0"/>
              <w:widowControl/>
              <w:suppressLineNumbers w:val="0"/>
              <w:jc w:val="center"/>
              <w:textAlignment w:val="center"/>
              <w:rPr>
                <w:rFonts w:hint="default" w:ascii="仿宋" w:hAnsi="仿宋" w:eastAsia="仿宋" w:cs="仿宋"/>
                <w:i w:val="0"/>
                <w:iCs w:val="0"/>
                <w:color w:val="auto"/>
                <w:kern w:val="2"/>
                <w:sz w:val="24"/>
                <w:szCs w:val="24"/>
                <w:highlight w:val="none"/>
                <w:u w:val="none"/>
                <w:lang w:val="en-US" w:eastAsia="zh-CN" w:bidi="ar-SA"/>
              </w:rPr>
            </w:pPr>
          </w:p>
        </w:tc>
        <w:tc>
          <w:tcPr>
            <w:tcW w:w="1247" w:type="dxa"/>
            <w:shd w:val="clear" w:color="auto" w:fill="auto"/>
            <w:vAlign w:val="center"/>
          </w:tcPr>
          <w:p w14:paraId="44B0612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rPr>
            </w:pPr>
          </w:p>
        </w:tc>
        <w:tc>
          <w:tcPr>
            <w:tcW w:w="1206" w:type="dxa"/>
            <w:shd w:val="clear" w:color="auto" w:fill="auto"/>
            <w:vAlign w:val="center"/>
          </w:tcPr>
          <w:p w14:paraId="0108D235">
            <w:pPr>
              <w:keepNext w:val="0"/>
              <w:keepLines w:val="0"/>
              <w:widowControl/>
              <w:suppressLineNumbers w:val="0"/>
              <w:jc w:val="center"/>
              <w:textAlignment w:val="center"/>
              <w:rPr>
                <w:rFonts w:hint="default" w:ascii="Calibri" w:hAnsi="Calibri" w:eastAsia="宋体" w:cs="宋体"/>
                <w:color w:val="auto"/>
                <w:kern w:val="2"/>
                <w:sz w:val="24"/>
                <w:szCs w:val="24"/>
                <w:highlight w:val="none"/>
                <w:vertAlign w:val="baseline"/>
                <w:lang w:val="en-US" w:eastAsia="zh-CN" w:bidi="ar-SA"/>
              </w:rPr>
            </w:pPr>
          </w:p>
        </w:tc>
        <w:tc>
          <w:tcPr>
            <w:tcW w:w="1206" w:type="dxa"/>
            <w:vAlign w:val="center"/>
          </w:tcPr>
          <w:p w14:paraId="2D5D86F6">
            <w:pPr>
              <w:keepNext w:val="0"/>
              <w:keepLines w:val="0"/>
              <w:widowControl/>
              <w:suppressLineNumbers w:val="0"/>
              <w:jc w:val="center"/>
              <w:textAlignment w:val="center"/>
              <w:rPr>
                <w:rFonts w:hint="default"/>
                <w:color w:val="auto"/>
                <w:sz w:val="24"/>
                <w:szCs w:val="24"/>
                <w:highlight w:val="none"/>
                <w:vertAlign w:val="baseline"/>
                <w:lang w:val="en-US" w:eastAsia="zh-CN"/>
              </w:rPr>
            </w:pPr>
          </w:p>
        </w:tc>
        <w:tc>
          <w:tcPr>
            <w:tcW w:w="1180" w:type="dxa"/>
            <w:vAlign w:val="center"/>
          </w:tcPr>
          <w:p w14:paraId="155F1BA7">
            <w:pPr>
              <w:keepNext w:val="0"/>
              <w:keepLines w:val="0"/>
              <w:widowControl/>
              <w:suppressLineNumbers w:val="0"/>
              <w:jc w:val="center"/>
              <w:textAlignment w:val="center"/>
              <w:rPr>
                <w:rFonts w:hint="default"/>
                <w:color w:val="auto"/>
                <w:sz w:val="24"/>
                <w:szCs w:val="24"/>
                <w:highlight w:val="none"/>
                <w:vertAlign w:val="baseline"/>
                <w:lang w:val="en-US" w:eastAsia="zh-CN"/>
              </w:rPr>
            </w:pPr>
          </w:p>
        </w:tc>
        <w:tc>
          <w:tcPr>
            <w:tcW w:w="1291" w:type="dxa"/>
            <w:shd w:val="clear" w:color="auto" w:fill="auto"/>
            <w:vAlign w:val="center"/>
          </w:tcPr>
          <w:p w14:paraId="5534CE97">
            <w:pPr>
              <w:keepNext w:val="0"/>
              <w:keepLines w:val="0"/>
              <w:widowControl/>
              <w:suppressLineNumbers w:val="0"/>
              <w:jc w:val="center"/>
              <w:textAlignment w:val="center"/>
              <w:rPr>
                <w:rFonts w:hint="default" w:ascii="Times New Roman" w:hAnsi="Times New Roman" w:eastAsia="宋体" w:cs="Times New Roman"/>
                <w:color w:val="auto"/>
                <w:kern w:val="2"/>
                <w:sz w:val="24"/>
                <w:szCs w:val="24"/>
                <w:highlight w:val="none"/>
                <w:vertAlign w:val="baseline"/>
                <w:lang w:val="en-US" w:eastAsia="zh-CN" w:bidi="ar-SA"/>
              </w:rPr>
            </w:pPr>
          </w:p>
        </w:tc>
        <w:tc>
          <w:tcPr>
            <w:tcW w:w="1246" w:type="dxa"/>
            <w:shd w:val="clear" w:color="auto" w:fill="auto"/>
            <w:vAlign w:val="center"/>
          </w:tcPr>
          <w:p w14:paraId="0D729C64">
            <w:pPr>
              <w:widowControl w:val="0"/>
              <w:jc w:val="center"/>
              <w:rPr>
                <w:rFonts w:hint="default" w:ascii="Calibri" w:hAnsi="Calibri" w:eastAsia="宋体" w:cs="宋体"/>
                <w:color w:val="auto"/>
                <w:kern w:val="2"/>
                <w:sz w:val="24"/>
                <w:szCs w:val="24"/>
                <w:highlight w:val="none"/>
                <w:vertAlign w:val="baseline"/>
                <w:lang w:val="en-US" w:eastAsia="zh-CN" w:bidi="ar-SA"/>
              </w:rPr>
            </w:pPr>
          </w:p>
        </w:tc>
      </w:tr>
      <w:tr w14:paraId="4A83A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53" w:type="dxa"/>
            <w:vAlign w:val="center"/>
          </w:tcPr>
          <w:p w14:paraId="4BF63502">
            <w:pPr>
              <w:widowControl w:val="0"/>
              <w:jc w:val="center"/>
              <w:rPr>
                <w:rFonts w:hint="default"/>
                <w:color w:val="auto"/>
                <w:sz w:val="24"/>
                <w:szCs w:val="24"/>
                <w:highlight w:val="none"/>
                <w:vertAlign w:val="baseline"/>
                <w:lang w:val="en-US" w:eastAsia="zh-CN"/>
              </w:rPr>
            </w:pPr>
          </w:p>
        </w:tc>
        <w:tc>
          <w:tcPr>
            <w:tcW w:w="1235" w:type="dxa"/>
            <w:shd w:val="clear" w:color="auto" w:fill="auto"/>
            <w:vAlign w:val="center"/>
          </w:tcPr>
          <w:p w14:paraId="67673010">
            <w:pPr>
              <w:keepNext w:val="0"/>
              <w:keepLines w:val="0"/>
              <w:widowControl/>
              <w:suppressLineNumbers w:val="0"/>
              <w:jc w:val="center"/>
              <w:textAlignment w:val="center"/>
              <w:rPr>
                <w:rFonts w:hint="default" w:ascii="仿宋" w:hAnsi="仿宋" w:eastAsia="仿宋" w:cs="仿宋"/>
                <w:i w:val="0"/>
                <w:iCs w:val="0"/>
                <w:color w:val="auto"/>
                <w:kern w:val="2"/>
                <w:sz w:val="24"/>
                <w:szCs w:val="24"/>
                <w:highlight w:val="none"/>
                <w:u w:val="none"/>
                <w:lang w:val="en-US" w:eastAsia="zh-CN" w:bidi="ar-SA"/>
              </w:rPr>
            </w:pPr>
          </w:p>
        </w:tc>
        <w:tc>
          <w:tcPr>
            <w:tcW w:w="1247" w:type="dxa"/>
            <w:shd w:val="clear" w:color="auto" w:fill="auto"/>
            <w:vAlign w:val="center"/>
          </w:tcPr>
          <w:p w14:paraId="6A3D2F4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rPr>
            </w:pPr>
          </w:p>
        </w:tc>
        <w:tc>
          <w:tcPr>
            <w:tcW w:w="1206" w:type="dxa"/>
            <w:shd w:val="clear" w:color="auto" w:fill="auto"/>
            <w:vAlign w:val="center"/>
          </w:tcPr>
          <w:p w14:paraId="4D7DE3B9">
            <w:pPr>
              <w:keepNext w:val="0"/>
              <w:keepLines w:val="0"/>
              <w:widowControl/>
              <w:suppressLineNumbers w:val="0"/>
              <w:jc w:val="center"/>
              <w:textAlignment w:val="center"/>
              <w:rPr>
                <w:rFonts w:hint="default" w:ascii="Calibri" w:hAnsi="Calibri" w:eastAsia="宋体" w:cs="宋体"/>
                <w:color w:val="auto"/>
                <w:kern w:val="2"/>
                <w:sz w:val="24"/>
                <w:szCs w:val="24"/>
                <w:highlight w:val="none"/>
                <w:vertAlign w:val="baseline"/>
                <w:lang w:val="en-US" w:eastAsia="zh-CN" w:bidi="ar-SA"/>
              </w:rPr>
            </w:pPr>
          </w:p>
        </w:tc>
        <w:tc>
          <w:tcPr>
            <w:tcW w:w="1206" w:type="dxa"/>
            <w:vAlign w:val="center"/>
          </w:tcPr>
          <w:p w14:paraId="0BD75849">
            <w:pPr>
              <w:keepNext w:val="0"/>
              <w:keepLines w:val="0"/>
              <w:widowControl/>
              <w:suppressLineNumbers w:val="0"/>
              <w:jc w:val="center"/>
              <w:textAlignment w:val="center"/>
              <w:rPr>
                <w:rFonts w:hint="default"/>
                <w:color w:val="auto"/>
                <w:sz w:val="24"/>
                <w:szCs w:val="24"/>
                <w:highlight w:val="none"/>
                <w:vertAlign w:val="baseline"/>
                <w:lang w:val="en-US" w:eastAsia="zh-CN"/>
              </w:rPr>
            </w:pPr>
          </w:p>
        </w:tc>
        <w:tc>
          <w:tcPr>
            <w:tcW w:w="1180" w:type="dxa"/>
            <w:vAlign w:val="center"/>
          </w:tcPr>
          <w:p w14:paraId="75305086">
            <w:pPr>
              <w:keepNext w:val="0"/>
              <w:keepLines w:val="0"/>
              <w:widowControl/>
              <w:suppressLineNumbers w:val="0"/>
              <w:jc w:val="center"/>
              <w:textAlignment w:val="center"/>
              <w:rPr>
                <w:rFonts w:hint="default"/>
                <w:color w:val="auto"/>
                <w:sz w:val="24"/>
                <w:szCs w:val="24"/>
                <w:highlight w:val="none"/>
                <w:vertAlign w:val="baseline"/>
                <w:lang w:val="en-US" w:eastAsia="zh-CN"/>
              </w:rPr>
            </w:pPr>
          </w:p>
        </w:tc>
        <w:tc>
          <w:tcPr>
            <w:tcW w:w="1291" w:type="dxa"/>
            <w:shd w:val="clear" w:color="auto" w:fill="auto"/>
            <w:vAlign w:val="center"/>
          </w:tcPr>
          <w:p w14:paraId="2E3E2D17">
            <w:pPr>
              <w:keepNext w:val="0"/>
              <w:keepLines w:val="0"/>
              <w:widowControl/>
              <w:suppressLineNumbers w:val="0"/>
              <w:jc w:val="center"/>
              <w:textAlignment w:val="center"/>
              <w:rPr>
                <w:rFonts w:hint="default" w:ascii="Times New Roman" w:hAnsi="Times New Roman" w:eastAsia="宋体" w:cs="Times New Roman"/>
                <w:color w:val="auto"/>
                <w:kern w:val="2"/>
                <w:sz w:val="24"/>
                <w:szCs w:val="24"/>
                <w:highlight w:val="none"/>
                <w:vertAlign w:val="baseline"/>
                <w:lang w:val="en-US" w:eastAsia="zh-CN" w:bidi="ar-SA"/>
              </w:rPr>
            </w:pPr>
          </w:p>
        </w:tc>
        <w:tc>
          <w:tcPr>
            <w:tcW w:w="1246" w:type="dxa"/>
            <w:shd w:val="clear" w:color="auto" w:fill="auto"/>
            <w:vAlign w:val="center"/>
          </w:tcPr>
          <w:p w14:paraId="2DFFFE28">
            <w:pPr>
              <w:widowControl w:val="0"/>
              <w:jc w:val="center"/>
              <w:rPr>
                <w:rFonts w:hint="default" w:ascii="Calibri" w:hAnsi="Calibri" w:eastAsia="宋体" w:cs="宋体"/>
                <w:color w:val="auto"/>
                <w:kern w:val="2"/>
                <w:sz w:val="24"/>
                <w:szCs w:val="24"/>
                <w:highlight w:val="none"/>
                <w:vertAlign w:val="baseline"/>
                <w:lang w:val="en-US" w:eastAsia="zh-CN" w:bidi="ar-SA"/>
              </w:rPr>
            </w:pPr>
          </w:p>
        </w:tc>
      </w:tr>
      <w:tr w14:paraId="3969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753" w:type="dxa"/>
            <w:vAlign w:val="center"/>
          </w:tcPr>
          <w:p w14:paraId="4A5AD3A3">
            <w:pPr>
              <w:widowControl w:val="0"/>
              <w:jc w:val="center"/>
              <w:rPr>
                <w:rFonts w:hint="default"/>
                <w:color w:val="auto"/>
                <w:sz w:val="24"/>
                <w:szCs w:val="24"/>
                <w:highlight w:val="none"/>
                <w:vertAlign w:val="baseline"/>
                <w:lang w:val="en-US" w:eastAsia="zh-CN"/>
              </w:rPr>
            </w:pPr>
          </w:p>
        </w:tc>
        <w:tc>
          <w:tcPr>
            <w:tcW w:w="6074" w:type="dxa"/>
            <w:gridSpan w:val="5"/>
            <w:shd w:val="clear" w:color="auto" w:fill="auto"/>
            <w:vAlign w:val="center"/>
          </w:tcPr>
          <w:p w14:paraId="59530F13">
            <w:pPr>
              <w:keepNext w:val="0"/>
              <w:keepLines w:val="0"/>
              <w:widowControl/>
              <w:suppressLineNumbers w:val="0"/>
              <w:jc w:val="center"/>
              <w:textAlignment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合计总金额</w:t>
            </w:r>
          </w:p>
        </w:tc>
        <w:tc>
          <w:tcPr>
            <w:tcW w:w="1291" w:type="dxa"/>
            <w:vAlign w:val="center"/>
          </w:tcPr>
          <w:p w14:paraId="034DE93A">
            <w:pPr>
              <w:widowControl w:val="0"/>
              <w:jc w:val="center"/>
              <w:rPr>
                <w:rFonts w:hint="default"/>
                <w:color w:val="auto"/>
                <w:sz w:val="24"/>
                <w:szCs w:val="24"/>
                <w:highlight w:val="none"/>
                <w:vertAlign w:val="baseline"/>
                <w:lang w:val="en-US" w:eastAsia="zh-CN"/>
              </w:rPr>
            </w:pPr>
          </w:p>
        </w:tc>
        <w:tc>
          <w:tcPr>
            <w:tcW w:w="1246" w:type="dxa"/>
            <w:vAlign w:val="center"/>
          </w:tcPr>
          <w:p w14:paraId="5C779496">
            <w:pPr>
              <w:widowControl w:val="0"/>
              <w:jc w:val="center"/>
              <w:rPr>
                <w:rFonts w:hint="default"/>
                <w:color w:val="auto"/>
                <w:sz w:val="24"/>
                <w:szCs w:val="24"/>
                <w:highlight w:val="none"/>
                <w:vertAlign w:val="baseline"/>
                <w:lang w:val="en-US" w:eastAsia="zh-CN"/>
              </w:rPr>
            </w:pPr>
          </w:p>
        </w:tc>
      </w:tr>
    </w:tbl>
    <w:p w14:paraId="2DE284C1">
      <w:pPr>
        <w:widowControl/>
        <w:spacing w:line="5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备注：1、</w:t>
      </w:r>
      <w:r>
        <w:rPr>
          <w:rFonts w:hint="eastAsia" w:ascii="宋体" w:hAnsi="宋体" w:cs="宋体"/>
          <w:color w:val="auto"/>
          <w:kern w:val="0"/>
          <w:szCs w:val="21"/>
          <w:highlight w:val="none"/>
        </w:rPr>
        <w:t>材料单价包含了材料在运至甲方工地过程中发生的一切费用（包含3</w:t>
      </w:r>
      <w:r>
        <w:rPr>
          <w:rFonts w:hint="eastAsia" w:ascii="宋体" w:hAnsi="宋体" w:cs="宋体"/>
          <w:bCs/>
          <w:color w:val="auto"/>
          <w:kern w:val="0"/>
          <w:szCs w:val="21"/>
          <w:highlight w:val="none"/>
        </w:rPr>
        <w:t>%的增值税发票、</w:t>
      </w:r>
      <w:r>
        <w:rPr>
          <w:rFonts w:hint="eastAsia" w:ascii="宋体" w:hAnsi="宋体" w:cs="宋体"/>
          <w:color w:val="auto"/>
          <w:kern w:val="0"/>
          <w:szCs w:val="21"/>
          <w:highlight w:val="none"/>
        </w:rPr>
        <w:t>采购</w:t>
      </w:r>
      <w:r>
        <w:rPr>
          <w:rFonts w:hint="eastAsia" w:ascii="宋体" w:hAnsi="宋体" w:cs="宋体"/>
          <w:color w:val="auto"/>
          <w:kern w:val="0"/>
          <w:szCs w:val="21"/>
          <w:highlight w:val="none"/>
          <w:lang w:val="en-US" w:eastAsia="zh-CN"/>
        </w:rPr>
        <w:t>材料</w:t>
      </w:r>
      <w:r>
        <w:rPr>
          <w:rFonts w:hint="eastAsia" w:ascii="宋体" w:hAnsi="宋体" w:cs="宋体"/>
          <w:color w:val="auto"/>
          <w:kern w:val="0"/>
          <w:szCs w:val="21"/>
          <w:highlight w:val="none"/>
        </w:rPr>
        <w:t>、生产拌合、损耗、保险、规费、税金、风险等）。</w:t>
      </w:r>
    </w:p>
    <w:p w14:paraId="7CB50A0C">
      <w:pPr>
        <w:widowControl/>
        <w:spacing w:line="500" w:lineRule="exact"/>
        <w:jc w:val="left"/>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2、此表中各项单价除沥青混凝土外执行过程中不作调整。 沥青混凝土价格调整原则:按微信公众号沥青报价2026年8月12日湖南衡阳市常宁沥青到站价:70号A级沥青4450元/吨，改性沥青4890元/吨为基准价，沥青价格涨跌幅度在</w:t>
      </w:r>
      <w:r>
        <w:rPr>
          <w:rFonts w:hint="eastAsia"/>
          <w:color w:val="auto"/>
          <w:spacing w:val="9"/>
          <w:highlight w:val="none"/>
        </w:rPr>
        <w:t>±</w:t>
      </w:r>
      <w:r>
        <w:rPr>
          <w:rFonts w:hint="eastAsia" w:ascii="宋体" w:hAnsi="宋体" w:cs="宋体"/>
          <w:color w:val="auto"/>
          <w:kern w:val="0"/>
          <w:szCs w:val="21"/>
          <w:highlight w:val="none"/>
          <w:lang w:val="en-US" w:eastAsia="zh-CN"/>
        </w:rPr>
        <w:t>8%以内(含8%)的不予调整，沥青价格涨跌幅度超出</w:t>
      </w:r>
      <w:r>
        <w:rPr>
          <w:rFonts w:hint="eastAsia"/>
          <w:color w:val="auto"/>
          <w:spacing w:val="9"/>
          <w:highlight w:val="none"/>
        </w:rPr>
        <w:t>±</w:t>
      </w:r>
      <w:r>
        <w:rPr>
          <w:rFonts w:hint="eastAsia" w:ascii="宋体" w:hAnsi="宋体" w:cs="宋体"/>
          <w:color w:val="auto"/>
          <w:kern w:val="0"/>
          <w:szCs w:val="21"/>
          <w:highlight w:val="none"/>
          <w:lang w:val="en-US" w:eastAsia="zh-CN"/>
        </w:rPr>
        <w:t>8%以外时才能进行调差，当沥青价格涨跌幅度超出</w:t>
      </w:r>
      <w:r>
        <w:rPr>
          <w:rFonts w:hint="eastAsia"/>
          <w:color w:val="auto"/>
          <w:spacing w:val="9"/>
          <w:highlight w:val="none"/>
        </w:rPr>
        <w:t>±</w:t>
      </w:r>
      <w:r>
        <w:rPr>
          <w:rFonts w:hint="eastAsia" w:ascii="宋体" w:hAnsi="宋体" w:cs="宋体"/>
          <w:color w:val="auto"/>
          <w:kern w:val="0"/>
          <w:szCs w:val="21"/>
          <w:highlight w:val="none"/>
          <w:lang w:val="en-US" w:eastAsia="zh-CN"/>
        </w:rPr>
        <w:t>8%以上时只对超过</w:t>
      </w:r>
      <w:r>
        <w:rPr>
          <w:rFonts w:hint="eastAsia"/>
          <w:color w:val="auto"/>
          <w:spacing w:val="9"/>
          <w:highlight w:val="none"/>
        </w:rPr>
        <w:t>±</w:t>
      </w:r>
      <w:r>
        <w:rPr>
          <w:rFonts w:hint="eastAsia" w:ascii="宋体" w:hAnsi="宋体" w:cs="宋体"/>
          <w:color w:val="auto"/>
          <w:kern w:val="0"/>
          <w:szCs w:val="21"/>
          <w:highlight w:val="none"/>
          <w:lang w:val="en-US" w:eastAsia="zh-CN"/>
        </w:rPr>
        <w:t>8%以外的部分予以调整。</w:t>
      </w:r>
    </w:p>
    <w:p w14:paraId="18D0283B">
      <w:pPr>
        <w:rPr>
          <w:rFonts w:hint="default" w:ascii="宋体" w:hAnsi="宋体" w:cs="宋体"/>
          <w:color w:val="auto"/>
          <w:kern w:val="0"/>
          <w:szCs w:val="21"/>
          <w:highlight w:val="none"/>
          <w:lang w:val="en-US" w:eastAsia="zh-CN"/>
        </w:rPr>
      </w:pPr>
    </w:p>
    <w:p w14:paraId="612539A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                                    法定代表人或</w:t>
      </w:r>
    </w:p>
    <w:p w14:paraId="1A321058">
      <w:pPr>
        <w:keepNext w:val="0"/>
        <w:keepLines w:val="0"/>
        <w:pageBreakBefore w:val="0"/>
        <w:widowControl w:val="0"/>
        <w:kinsoku/>
        <w:wordWrap/>
        <w:overflowPunct/>
        <w:topLinePunct w:val="0"/>
        <w:autoSpaceDE/>
        <w:autoSpaceDN/>
        <w:bidi w:val="0"/>
        <w:adjustRightInd/>
        <w:snapToGrid/>
        <w:spacing w:line="480" w:lineRule="auto"/>
        <w:ind w:firstLine="4320" w:firstLineChars="1800"/>
        <w:textAlignment w:val="auto"/>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授权代理人签字：</w:t>
      </w:r>
    </w:p>
    <w:p w14:paraId="4842E541">
      <w:pPr>
        <w:keepNext w:val="0"/>
        <w:keepLines w:val="0"/>
        <w:pageBreakBefore w:val="0"/>
        <w:widowControl w:val="0"/>
        <w:kinsoku/>
        <w:wordWrap/>
        <w:overflowPunct/>
        <w:topLinePunct w:val="0"/>
        <w:autoSpaceDE/>
        <w:autoSpaceDN/>
        <w:bidi w:val="0"/>
        <w:adjustRightInd/>
        <w:snapToGrid/>
        <w:spacing w:line="480" w:lineRule="auto"/>
        <w:ind w:firstLine="5520" w:firstLineChars="2300"/>
        <w:textAlignment w:val="auto"/>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单位盖章：</w:t>
      </w:r>
    </w:p>
    <w:p w14:paraId="1DA9629D">
      <w:pPr>
        <w:keepNext w:val="0"/>
        <w:keepLines w:val="0"/>
        <w:pageBreakBefore w:val="0"/>
        <w:widowControl w:val="0"/>
        <w:kinsoku/>
        <w:wordWrap/>
        <w:overflowPunct/>
        <w:topLinePunct w:val="0"/>
        <w:autoSpaceDE/>
        <w:autoSpaceDN/>
        <w:bidi w:val="0"/>
        <w:adjustRightInd/>
        <w:snapToGrid/>
        <w:spacing w:line="480" w:lineRule="auto"/>
        <w:ind w:firstLine="6240" w:firstLineChars="2600"/>
        <w:textAlignment w:val="auto"/>
        <w:rPr>
          <w:rFonts w:hint="eastAsia" w:ascii="宋体" w:hAnsi="宋体" w:cs="宋体"/>
          <w:b/>
          <w:bCs/>
          <w:color w:val="auto"/>
          <w:kern w:val="0"/>
          <w:sz w:val="28"/>
          <w:szCs w:val="28"/>
          <w:highlight w:val="none"/>
        </w:rPr>
      </w:pPr>
      <w:r>
        <w:rPr>
          <w:rFonts w:hint="eastAsia" w:ascii="宋体" w:hAnsi="宋体" w:eastAsia="宋体" w:cs="宋体"/>
          <w:i w:val="0"/>
          <w:iCs w:val="0"/>
          <w:color w:val="auto"/>
          <w:kern w:val="0"/>
          <w:sz w:val="24"/>
          <w:szCs w:val="24"/>
          <w:highlight w:val="none"/>
          <w:u w:val="none"/>
          <w:lang w:val="en-US" w:eastAsia="zh-CN"/>
        </w:rPr>
        <w:t>年  月  日</w:t>
      </w:r>
    </w:p>
    <w:p w14:paraId="76D7ACF8">
      <w:pPr>
        <w:keepNext w:val="0"/>
        <w:keepLines w:val="0"/>
        <w:pageBreakBefore w:val="0"/>
        <w:widowControl/>
        <w:kinsoku/>
        <w:wordWrap/>
        <w:overflowPunct/>
        <w:topLinePunct w:val="0"/>
        <w:autoSpaceDE/>
        <w:autoSpaceDN/>
        <w:bidi w:val="0"/>
        <w:spacing w:line="480" w:lineRule="exact"/>
        <w:outlineLvl w:val="2"/>
        <w:rPr>
          <w:rFonts w:hint="eastAsia" w:ascii="宋体" w:hAnsi="宋体" w:cs="宋体"/>
          <w:b/>
          <w:bCs/>
          <w:color w:val="auto"/>
          <w:kern w:val="0"/>
          <w:sz w:val="28"/>
          <w:szCs w:val="28"/>
          <w:highlight w:val="none"/>
          <w:lang w:val="en-US" w:eastAsia="zh-CN"/>
        </w:rPr>
      </w:pPr>
    </w:p>
    <w:p w14:paraId="3A462982">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rPr>
      </w:pPr>
    </w:p>
    <w:p w14:paraId="23F52222">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7</w:t>
      </w:r>
    </w:p>
    <w:p w14:paraId="210A3240">
      <w:pPr>
        <w:spacing w:line="420" w:lineRule="exact"/>
        <w:ind w:firstLine="643" w:firstLineChars="200"/>
        <w:jc w:val="center"/>
        <w:outlineLvl w:val="2"/>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投标保证金</w:t>
      </w:r>
    </w:p>
    <w:p w14:paraId="0702C977">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4051F509">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7708C42">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093D14F4">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C506B05">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151E8A47">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5399BA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593C0C99">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BCE188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5AFF0D77">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C3080D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505BBDB8">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4F8A462E">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09737368">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6062CA65">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C4EFA7B">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CE8D67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439D922">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3C695BC6">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17B247FA">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1681ACBF">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2C348B65">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3974A9D1">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6FD87138">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65B645C9">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01062E23">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0B1CF78D">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29A1DC75">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rPr>
      </w:pPr>
    </w:p>
    <w:p w14:paraId="1596372A">
      <w:pPr>
        <w:keepNext w:val="0"/>
        <w:keepLines w:val="0"/>
        <w:pageBreakBefore w:val="0"/>
        <w:widowControl/>
        <w:kinsoku/>
        <w:wordWrap/>
        <w:overflowPunct/>
        <w:topLinePunct w:val="0"/>
        <w:autoSpaceDE/>
        <w:autoSpaceDN/>
        <w:bidi w:val="0"/>
        <w:spacing w:line="480" w:lineRule="exact"/>
        <w:outlineLvl w:val="2"/>
        <w:rPr>
          <w:rFonts w:hint="default"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8</w:t>
      </w:r>
    </w:p>
    <w:p w14:paraId="23EFAF1A">
      <w:pPr>
        <w:jc w:val="center"/>
        <w:outlineLvl w:val="2"/>
        <w:rPr>
          <w:rFonts w:hint="eastAsia" w:ascii="黑体" w:eastAsia="黑体"/>
          <w:b/>
          <w:color w:val="auto"/>
          <w:sz w:val="44"/>
          <w:szCs w:val="44"/>
          <w:highlight w:val="none"/>
          <w:lang w:val="en-US" w:eastAsia="zh-CN"/>
        </w:rPr>
      </w:pPr>
      <w:r>
        <w:rPr>
          <w:rFonts w:hint="eastAsia" w:ascii="Arial" w:hAnsi="Arial" w:eastAsia="黑体" w:cs="Times New Roman"/>
          <w:b/>
          <w:color w:val="auto"/>
          <w:kern w:val="2"/>
          <w:sz w:val="48"/>
          <w:szCs w:val="48"/>
          <w:highlight w:val="none"/>
          <w:lang w:val="en-US" w:eastAsia="zh-CN" w:bidi="ar-SA"/>
        </w:rPr>
        <w:t>声明书</w:t>
      </w:r>
    </w:p>
    <w:p w14:paraId="0799F2F5">
      <w:pPr>
        <w:spacing w:line="500" w:lineRule="exact"/>
        <w:outlineLvl w:val="9"/>
        <w:rPr>
          <w:rFonts w:hint="eastAsia" w:ascii="宋体" w:hAnsi="宋体" w:eastAsia="宋体" w:cs="Times New Roman"/>
          <w:b/>
          <w:bCs/>
          <w:color w:val="auto"/>
          <w:sz w:val="28"/>
          <w:szCs w:val="28"/>
          <w:highlight w:val="none"/>
          <w:lang w:eastAsia="zh-CN"/>
        </w:rPr>
      </w:pPr>
      <w:r>
        <w:rPr>
          <w:rFonts w:hint="eastAsia" w:ascii="宋体" w:hAnsi="宋体" w:eastAsia="宋体" w:cs="Times New Roman"/>
          <w:b/>
          <w:bCs/>
          <w:color w:val="auto"/>
          <w:sz w:val="28"/>
          <w:szCs w:val="28"/>
          <w:highlight w:val="none"/>
        </w:rPr>
        <w:t>衡阳公路桥梁建设有限公司</w:t>
      </w:r>
      <w:r>
        <w:rPr>
          <w:rFonts w:hint="eastAsia" w:ascii="宋体" w:hAnsi="宋体" w:eastAsia="宋体" w:cs="Times New Roman"/>
          <w:b/>
          <w:bCs/>
          <w:color w:val="auto"/>
          <w:sz w:val="28"/>
          <w:szCs w:val="28"/>
          <w:highlight w:val="none"/>
          <w:lang w:eastAsia="zh-CN"/>
        </w:rPr>
        <w:t>：</w:t>
      </w:r>
    </w:p>
    <w:p w14:paraId="1880D614">
      <w:pPr>
        <w:spacing w:line="420" w:lineRule="exact"/>
        <w:ind w:firstLine="480" w:firstLineChars="200"/>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公司郑重声明：贵公司对双方合同的格式条款，均已采取合理方式提示本公司，应注意部分免除或者减轻贵公司责任等与本公司有重大利害关系的条款，并已按照本公司的要求，对该合同格式条款进行了充分说明。</w:t>
      </w:r>
    </w:p>
    <w:p w14:paraId="7F343D4F">
      <w:pPr>
        <w:spacing w:line="420" w:lineRule="exact"/>
        <w:ind w:firstLine="480" w:firstLineChars="200"/>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公司对合同中的“特别约定：乙方（本公司）作为专业从事工程建设的劳务分包方，熟知本工程建设单位及当地政府的结算流程。因此，乙方充分理解在本合同履行中，甲方（贵公司）依据本合同约定的付款会受到建设单位及当地政府支付工程款的影响。</w:t>
      </w:r>
      <w:r>
        <w:rPr>
          <w:rFonts w:hint="eastAsia" w:ascii="仿宋" w:hAnsi="仿宋" w:eastAsia="仿宋" w:cs="仿宋"/>
          <w:b/>
          <w:bCs/>
          <w:color w:val="auto"/>
          <w:sz w:val="24"/>
          <w:szCs w:val="24"/>
          <w:highlight w:val="none"/>
          <w:u w:val="single"/>
          <w:lang w:val="en-US" w:eastAsia="zh-CN"/>
        </w:rPr>
        <w:t>乙方同意甲方的付款比例以建设单位及当地政府的按期付款比例为前提，如因建设单位及当地政府迟延支付工程款，甲方可以相应顺延支付乙方劳务报酬且不承担违约责任。乙方不得以任何方式和理由（包括但不限于履行期限不明）依据本合同向甲方索要劳务报酬及利息或其他资金成本。</w:t>
      </w:r>
      <w:r>
        <w:rPr>
          <w:rFonts w:hint="eastAsia" w:ascii="仿宋" w:hAnsi="仿宋" w:eastAsia="仿宋" w:cs="仿宋"/>
          <w:color w:val="auto"/>
          <w:sz w:val="24"/>
          <w:szCs w:val="24"/>
          <w:highlight w:val="none"/>
          <w:lang w:val="en-US" w:eastAsia="zh-CN"/>
        </w:rPr>
        <w:t>同时，乙方仍须积极配合甲方向建设单位及当地政府催付工程款。对上述迟延付款风险乙方明知且自愿承担。乙方对甲方享有的债权专属于乙方，并不得转让给任何其他方。</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 xml:space="preserve">的内容充分理解，并同意在贵公司按照上述“特别约定”延期支付款项时，不追究贵公司的相关责任。                        </w:t>
      </w:r>
    </w:p>
    <w:p w14:paraId="312A3F73">
      <w:pPr>
        <w:spacing w:line="420" w:lineRule="exact"/>
        <w:ind w:firstLine="480" w:firstLineChars="200"/>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本声明书内容属实，并视为双方合同不可分割的组成部分，其为本公司的真实意思表示，本声明不存在欺诈、胁迫、重大误解等情形，本公司自愿为此承担相关法律责任。</w:t>
      </w:r>
    </w:p>
    <w:p w14:paraId="624555C1">
      <w:pPr>
        <w:spacing w:line="420" w:lineRule="exact"/>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特此声明！ </w:t>
      </w:r>
    </w:p>
    <w:p w14:paraId="4443ECD9">
      <w:pPr>
        <w:spacing w:line="500" w:lineRule="exact"/>
        <w:ind w:firstLine="2985" w:firstLineChars="1244"/>
        <w:jc w:val="center"/>
        <w:outlineLvl w:val="9"/>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val="en-US" w:eastAsia="zh-CN"/>
        </w:rPr>
        <w:t>声明人：（加</w:t>
      </w:r>
      <w:r>
        <w:rPr>
          <w:rFonts w:hint="eastAsia" w:ascii="宋体" w:hAnsi="宋体" w:eastAsia="宋体" w:cs="Times New Roman"/>
          <w:color w:val="auto"/>
          <w:sz w:val="24"/>
          <w:szCs w:val="24"/>
          <w:highlight w:val="none"/>
        </w:rPr>
        <w:t>盖</w:t>
      </w:r>
      <w:r>
        <w:rPr>
          <w:rFonts w:hint="eastAsia" w:ascii="宋体" w:hAnsi="宋体" w:eastAsia="宋体" w:cs="Times New Roman"/>
          <w:color w:val="auto"/>
          <w:sz w:val="24"/>
          <w:szCs w:val="24"/>
          <w:highlight w:val="none"/>
          <w:lang w:val="en-US" w:eastAsia="zh-CN"/>
        </w:rPr>
        <w:t>公</w:t>
      </w:r>
      <w:r>
        <w:rPr>
          <w:rFonts w:hint="eastAsia" w:ascii="宋体" w:hAnsi="宋体" w:eastAsia="宋体" w:cs="Times New Roman"/>
          <w:color w:val="auto"/>
          <w:sz w:val="24"/>
          <w:szCs w:val="24"/>
          <w:highlight w:val="none"/>
        </w:rPr>
        <w:t>章</w:t>
      </w:r>
      <w:r>
        <w:rPr>
          <w:rFonts w:hint="eastAsia" w:ascii="宋体" w:hAnsi="宋体" w:eastAsia="宋体" w:cs="Times New Roman"/>
          <w:color w:val="auto"/>
          <w:sz w:val="24"/>
          <w:szCs w:val="24"/>
          <w:highlight w:val="none"/>
          <w:lang w:eastAsia="zh-CN"/>
        </w:rPr>
        <w:t>）</w:t>
      </w:r>
    </w:p>
    <w:p w14:paraId="42EE6E36">
      <w:pPr>
        <w:spacing w:line="500" w:lineRule="exact"/>
        <w:ind w:firstLine="2985" w:firstLineChars="1244"/>
        <w:jc w:val="center"/>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或委托代理人</w:t>
      </w:r>
      <w:r>
        <w:rPr>
          <w:rFonts w:hint="eastAsia" w:ascii="宋体" w:hAnsi="宋体" w:eastAsia="宋体" w:cs="Times New Roman"/>
          <w:color w:val="auto"/>
          <w:sz w:val="24"/>
          <w:szCs w:val="24"/>
          <w:highlight w:val="none"/>
          <w:lang w:eastAsia="zh-CN"/>
        </w:rPr>
        <w:t>）</w:t>
      </w:r>
    </w:p>
    <w:p w14:paraId="1E628F34">
      <w:pPr>
        <w:spacing w:line="600" w:lineRule="auto"/>
        <w:ind w:firstLine="5371" w:firstLineChars="2238"/>
        <w:jc w:val="left"/>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年     月     日</w:t>
      </w:r>
    </w:p>
    <w:p w14:paraId="607E2244">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1057B4F8">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4E6C3A2D">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65BCAD07">
      <w:pPr>
        <w:widowControl/>
        <w:spacing w:line="480" w:lineRule="exact"/>
        <w:rPr>
          <w:rFonts w:hint="eastAsia" w:ascii="宋体" w:hAnsi="宋体" w:cs="宋体"/>
          <w:b/>
          <w:bCs/>
          <w:color w:val="auto"/>
          <w:kern w:val="0"/>
          <w:sz w:val="28"/>
          <w:szCs w:val="28"/>
          <w:highlight w:val="none"/>
        </w:rPr>
      </w:pPr>
    </w:p>
    <w:p w14:paraId="5E78CEC7">
      <w:pPr>
        <w:widowControl/>
        <w:spacing w:line="480" w:lineRule="exact"/>
        <w:outlineLvl w:val="2"/>
        <w:rPr>
          <w:rFonts w:hint="eastAsia" w:ascii="宋体" w:hAnsi="宋体" w:cs="宋体"/>
          <w:b/>
          <w:bCs/>
          <w:color w:val="auto"/>
          <w:kern w:val="0"/>
          <w:sz w:val="28"/>
          <w:szCs w:val="28"/>
          <w:highlight w:val="none"/>
        </w:rPr>
      </w:pPr>
    </w:p>
    <w:p w14:paraId="6D1946D5">
      <w:pPr>
        <w:widowControl/>
        <w:spacing w:line="480" w:lineRule="exact"/>
        <w:outlineLvl w:val="2"/>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9</w:t>
      </w:r>
      <w:r>
        <w:rPr>
          <w:rFonts w:hint="eastAsia" w:ascii="宋体" w:hAnsi="宋体" w:cs="宋体"/>
          <w:b/>
          <w:bCs/>
          <w:color w:val="auto"/>
          <w:kern w:val="0"/>
          <w:sz w:val="28"/>
          <w:szCs w:val="28"/>
          <w:highlight w:val="none"/>
        </w:rPr>
        <w:t xml:space="preserve">  </w:t>
      </w:r>
    </w:p>
    <w:p w14:paraId="0A01F9C1">
      <w:pPr>
        <w:widowControl/>
        <w:spacing w:line="480" w:lineRule="exact"/>
        <w:jc w:val="center"/>
        <w:outlineLvl w:val="2"/>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关联要求、联合体要求、增值税要求</w:t>
      </w:r>
    </w:p>
    <w:p w14:paraId="76094D8A">
      <w:pPr>
        <w:widowControl/>
        <w:spacing w:line="480" w:lineRule="exact"/>
        <w:outlineLvl w:val="9"/>
        <w:rPr>
          <w:rFonts w:hint="eastAsia" w:ascii="宋体" w:hAnsi="宋体" w:cs="宋体"/>
          <w:b/>
          <w:bCs/>
          <w:color w:val="auto"/>
          <w:kern w:val="0"/>
          <w:sz w:val="28"/>
          <w:szCs w:val="28"/>
          <w:highlight w:val="none"/>
        </w:rPr>
      </w:pPr>
    </w:p>
    <w:p w14:paraId="0A591A40">
      <w:pPr>
        <w:widowControl/>
        <w:spacing w:line="480" w:lineRule="exact"/>
        <w:outlineLvl w:val="9"/>
        <w:rPr>
          <w:rFonts w:ascii="Segoe UI" w:hAnsi="Segoe UI" w:eastAsia="Segoe UI" w:cs="Segoe UI"/>
          <w:color w:val="auto"/>
          <w:sz w:val="24"/>
          <w:highlight w:val="none"/>
          <w:shd w:val="clear" w:color="auto" w:fill="FFFFFF"/>
        </w:rPr>
      </w:pPr>
      <w:r>
        <w:rPr>
          <w:rStyle w:val="18"/>
          <w:rFonts w:ascii="Segoe UI" w:hAnsi="Segoe UI" w:eastAsia="Segoe UI" w:cs="Segoe UI"/>
          <w:color w:val="auto"/>
          <w:sz w:val="24"/>
          <w:highlight w:val="none"/>
          <w:shd w:val="clear" w:color="auto" w:fill="FFFFFF"/>
        </w:rPr>
        <w:t>关联要求响应：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我公司郑重声明，严格按照</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文件要求，不存在与其他</w:t>
      </w:r>
      <w:r>
        <w:rPr>
          <w:rFonts w:hint="eastAsia" w:ascii="Segoe UI" w:hAnsi="Segoe UI" w:eastAsia="宋体" w:cs="Segoe UI"/>
          <w:color w:val="auto"/>
          <w:sz w:val="24"/>
          <w:highlight w:val="none"/>
          <w:shd w:val="clear" w:color="auto" w:fill="FFFFFF"/>
          <w:lang w:eastAsia="zh-CN"/>
        </w:rPr>
        <w:t>参选人</w:t>
      </w:r>
      <w:r>
        <w:rPr>
          <w:rFonts w:ascii="Segoe UI" w:hAnsi="Segoe UI" w:eastAsia="Segoe UI" w:cs="Segoe UI"/>
          <w:color w:val="auto"/>
          <w:sz w:val="24"/>
          <w:highlight w:val="none"/>
          <w:shd w:val="clear" w:color="auto" w:fill="FFFFFF"/>
        </w:rPr>
        <w:t>存在直接或间接的关联关系（包括但不限于控股、管理关系或同一实际控制人），也未委托其他关联公司参与本项目投标，完全满足</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文件关于关联企业的限制要求。</w:t>
      </w:r>
    </w:p>
    <w:p w14:paraId="452D4D38">
      <w:pPr>
        <w:widowControl/>
        <w:spacing w:line="480" w:lineRule="exact"/>
        <w:outlineLvl w:val="9"/>
        <w:rPr>
          <w:rFonts w:ascii="Segoe UI" w:hAnsi="Segoe UI" w:eastAsia="Segoe UI" w:cs="Segoe UI"/>
          <w:color w:val="auto"/>
          <w:sz w:val="24"/>
          <w:highlight w:val="none"/>
          <w:shd w:val="clear" w:color="auto" w:fill="FFFFFF"/>
        </w:rPr>
      </w:pPr>
    </w:p>
    <w:p w14:paraId="35F9E34D">
      <w:pPr>
        <w:widowControl/>
        <w:spacing w:line="480" w:lineRule="exact"/>
        <w:outlineLvl w:val="9"/>
        <w:rPr>
          <w:rFonts w:ascii="Segoe UI" w:hAnsi="Segoe UI" w:eastAsia="Segoe UI" w:cs="Segoe UI"/>
          <w:color w:val="auto"/>
          <w:sz w:val="24"/>
          <w:highlight w:val="none"/>
          <w:shd w:val="clear" w:color="auto" w:fill="FFFFFF"/>
        </w:rPr>
      </w:pPr>
    </w:p>
    <w:p w14:paraId="0442F9AF">
      <w:pPr>
        <w:widowControl/>
        <w:spacing w:line="480" w:lineRule="exact"/>
        <w:outlineLvl w:val="9"/>
        <w:rPr>
          <w:rFonts w:ascii="Segoe UI" w:hAnsi="Segoe UI" w:eastAsia="Segoe UI" w:cs="Segoe UI"/>
          <w:color w:val="auto"/>
          <w:sz w:val="24"/>
          <w:highlight w:val="none"/>
          <w:shd w:val="clear" w:color="auto" w:fill="FFFFFF"/>
        </w:rPr>
      </w:pPr>
    </w:p>
    <w:p w14:paraId="6DC1F9CE">
      <w:pPr>
        <w:widowControl/>
        <w:spacing w:line="480" w:lineRule="exact"/>
        <w:outlineLvl w:val="9"/>
        <w:rPr>
          <w:rFonts w:ascii="Segoe UI" w:hAnsi="Segoe UI" w:eastAsia="Segoe UI" w:cs="Segoe UI"/>
          <w:color w:val="auto"/>
          <w:sz w:val="24"/>
          <w:highlight w:val="none"/>
          <w:shd w:val="clear" w:color="auto" w:fill="FFFFFF"/>
        </w:rPr>
      </w:pPr>
      <w:r>
        <w:rPr>
          <w:rStyle w:val="18"/>
          <w:rFonts w:ascii="Segoe UI" w:hAnsi="Segoe UI" w:eastAsia="Segoe UI" w:cs="Segoe UI"/>
          <w:color w:val="auto"/>
          <w:sz w:val="24"/>
          <w:highlight w:val="none"/>
          <w:shd w:val="clear" w:color="auto" w:fill="FFFFFF"/>
        </w:rPr>
        <w:t>联合体要求响应：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我公司为独立</w:t>
      </w:r>
      <w:r>
        <w:rPr>
          <w:rFonts w:hint="eastAsia" w:ascii="Segoe UI" w:hAnsi="Segoe UI" w:eastAsia="宋体" w:cs="Segoe UI"/>
          <w:color w:val="auto"/>
          <w:sz w:val="24"/>
          <w:highlight w:val="none"/>
          <w:shd w:val="clear" w:color="auto" w:fill="FFFFFF"/>
          <w:lang w:eastAsia="zh-CN"/>
        </w:rPr>
        <w:t>参选人</w:t>
      </w:r>
      <w:r>
        <w:rPr>
          <w:rFonts w:ascii="Segoe UI" w:hAnsi="Segoe UI" w:eastAsia="Segoe UI" w:cs="Segoe UI"/>
          <w:color w:val="auto"/>
          <w:sz w:val="24"/>
          <w:highlight w:val="none"/>
          <w:shd w:val="clear" w:color="auto" w:fill="FFFFFF"/>
        </w:rPr>
        <w:t>，不采用联合体形式参与本项目投标，完全满足招标文件要求。</w:t>
      </w:r>
    </w:p>
    <w:p w14:paraId="1FA97AA4">
      <w:pPr>
        <w:widowControl/>
        <w:spacing w:line="480" w:lineRule="exact"/>
        <w:outlineLvl w:val="9"/>
        <w:rPr>
          <w:rFonts w:ascii="Segoe UI" w:hAnsi="Segoe UI" w:eastAsia="Segoe UI" w:cs="Segoe UI"/>
          <w:color w:val="auto"/>
          <w:sz w:val="24"/>
          <w:highlight w:val="none"/>
          <w:shd w:val="clear" w:color="auto" w:fill="FFFFFF"/>
        </w:rPr>
      </w:pPr>
    </w:p>
    <w:p w14:paraId="4E49B5D5">
      <w:pPr>
        <w:widowControl/>
        <w:spacing w:line="480" w:lineRule="exact"/>
        <w:outlineLvl w:val="9"/>
        <w:rPr>
          <w:rFonts w:ascii="Segoe UI" w:hAnsi="Segoe UI" w:eastAsia="Segoe UI" w:cs="Segoe UI"/>
          <w:color w:val="auto"/>
          <w:sz w:val="24"/>
          <w:highlight w:val="none"/>
          <w:shd w:val="clear" w:color="auto" w:fill="FFFFFF"/>
        </w:rPr>
      </w:pPr>
    </w:p>
    <w:p w14:paraId="3C41F446">
      <w:pPr>
        <w:widowControl/>
        <w:spacing w:line="480" w:lineRule="exact"/>
        <w:outlineLvl w:val="9"/>
        <w:rPr>
          <w:rFonts w:ascii="Segoe UI" w:hAnsi="Segoe UI" w:eastAsia="Segoe UI" w:cs="Segoe UI"/>
          <w:color w:val="auto"/>
          <w:sz w:val="24"/>
          <w:highlight w:val="none"/>
          <w:shd w:val="clear" w:color="auto" w:fill="FFFFFF"/>
        </w:rPr>
      </w:pPr>
    </w:p>
    <w:p w14:paraId="78BD8FBE">
      <w:pPr>
        <w:widowControl/>
        <w:spacing w:line="480" w:lineRule="exact"/>
        <w:outlineLvl w:val="9"/>
        <w:rPr>
          <w:rFonts w:ascii="Segoe UI" w:hAnsi="Segoe UI" w:eastAsia="Segoe UI" w:cs="Segoe UI"/>
          <w:color w:val="auto"/>
          <w:sz w:val="24"/>
          <w:highlight w:val="none"/>
          <w:shd w:val="clear" w:color="auto" w:fill="FFFFFF"/>
        </w:rPr>
      </w:pPr>
      <w:r>
        <w:rPr>
          <w:rStyle w:val="18"/>
          <w:rFonts w:ascii="Segoe UI" w:hAnsi="Segoe UI" w:eastAsia="Segoe UI" w:cs="Segoe UI"/>
          <w:color w:val="auto"/>
          <w:sz w:val="24"/>
          <w:highlight w:val="none"/>
          <w:shd w:val="clear" w:color="auto" w:fill="FFFFFF"/>
        </w:rPr>
        <w:t>增值税要求响应：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我公司承诺，若中标，将严格按照招标文件要求开具税率为【</w:t>
      </w:r>
      <w:r>
        <w:rPr>
          <w:rFonts w:hint="eastAsia" w:ascii="Segoe UI" w:hAnsi="Segoe UI" w:eastAsia="宋体" w:cs="Segoe UI"/>
          <w:color w:val="auto"/>
          <w:sz w:val="24"/>
          <w:highlight w:val="none"/>
          <w:shd w:val="clear" w:color="auto" w:fill="FFFFFF"/>
          <w:lang w:val="en-US" w:eastAsia="zh-CN"/>
        </w:rPr>
        <w:t>6</w:t>
      </w:r>
      <w:r>
        <w:rPr>
          <w:rFonts w:ascii="Segoe UI" w:hAnsi="Segoe UI" w:eastAsia="Segoe UI" w:cs="Segoe UI"/>
          <w:color w:val="auto"/>
          <w:sz w:val="24"/>
          <w:highlight w:val="none"/>
          <w:shd w:val="clear" w:color="auto" w:fill="FFFFFF"/>
        </w:rPr>
        <w:t>%】的增值税专用发票（发票类型：</w:t>
      </w:r>
      <w:r>
        <w:rPr>
          <w:rFonts w:hint="eastAsia" w:ascii="Segoe UI" w:hAnsi="Segoe UI" w:cs="Segoe UI"/>
          <w:color w:val="auto"/>
          <w:sz w:val="24"/>
          <w:highlight w:val="none"/>
          <w:shd w:val="clear" w:color="auto" w:fill="FFFFFF"/>
        </w:rPr>
        <w:t>☑</w:t>
      </w:r>
      <w:r>
        <w:rPr>
          <w:rFonts w:ascii="Segoe UI" w:hAnsi="Segoe UI" w:eastAsia="Segoe UI" w:cs="Segoe UI"/>
          <w:color w:val="auto"/>
          <w:sz w:val="24"/>
          <w:highlight w:val="none"/>
          <w:shd w:val="clear" w:color="auto" w:fill="FFFFFF"/>
        </w:rPr>
        <w:t>增值税专用发票 □普通发票），并确保发票信息真实、合法、有效，完全满足</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文件对增值税的相关要求。</w:t>
      </w:r>
    </w:p>
    <w:p w14:paraId="6B641CED">
      <w:pPr>
        <w:spacing w:line="600" w:lineRule="auto"/>
        <w:jc w:val="left"/>
        <w:outlineLvl w:val="9"/>
        <w:rPr>
          <w:rFonts w:hint="eastAsia" w:ascii="宋体" w:hAnsi="宋体" w:eastAsia="宋体" w:cs="Times New Roman"/>
          <w:color w:val="auto"/>
          <w:sz w:val="24"/>
          <w:szCs w:val="24"/>
          <w:highlight w:val="none"/>
        </w:rPr>
      </w:pPr>
    </w:p>
    <w:p w14:paraId="3E45FC6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14:paraId="618F34B9">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 xml:space="preserve">公司名称：                 </w:t>
      </w:r>
    </w:p>
    <w:p w14:paraId="4CE66CF0">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法人或授权代表人：                 （签字盖章）</w:t>
      </w:r>
    </w:p>
    <w:p w14:paraId="2DA1A7F5">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 xml:space="preserve">   年   月   日</w:t>
      </w:r>
    </w:p>
    <w:p w14:paraId="7552D00F">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14:paraId="78210E4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14:paraId="500FA223">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9"/>
        <w:rPr>
          <w:rFonts w:hint="eastAsia" w:ascii="Calibri" w:hAnsi="Calibri" w:eastAsia="方正小标宋简体" w:cs="Times New Roman"/>
          <w:bCs/>
          <w:color w:val="auto"/>
          <w:kern w:val="44"/>
          <w:sz w:val="44"/>
          <w:szCs w:val="44"/>
          <w:highlight w:val="none"/>
          <w:lang w:val="en-US" w:eastAsia="zh-CN" w:bidi="ar-SA"/>
        </w:rPr>
      </w:pPr>
    </w:p>
    <w:p w14:paraId="3E207D1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t>第四章  评标办法</w:t>
      </w:r>
    </w:p>
    <w:p w14:paraId="35B5FA50">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default"/>
          <w:color w:val="auto"/>
          <w:highlight w:val="none"/>
          <w:lang w:val="en-US" w:eastAsia="zh-CN"/>
        </w:rPr>
      </w:pPr>
      <w:r>
        <w:rPr>
          <w:rFonts w:hint="eastAsia" w:ascii="Calibri" w:hAnsi="Calibri" w:eastAsia="方正小标宋简体" w:cs="Times New Roman"/>
          <w:bCs/>
          <w:color w:val="auto"/>
          <w:kern w:val="44"/>
          <w:sz w:val="44"/>
          <w:szCs w:val="44"/>
          <w:highlight w:val="none"/>
          <w:lang w:val="en-US" w:eastAsia="zh-CN" w:bidi="ar-SA"/>
        </w:rPr>
        <w:t>评标办法（最低投标价法）</w:t>
      </w:r>
    </w:p>
    <w:tbl>
      <w:tblPr>
        <w:tblStyle w:val="15"/>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14:paraId="2ADC82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vAlign w:val="center"/>
          </w:tcPr>
          <w:p w14:paraId="02751F26">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vAlign w:val="center"/>
          </w:tcPr>
          <w:p w14:paraId="7DC5B836">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14:paraId="67AFB5BA">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14:paraId="714460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96" w:type="dxa"/>
            <w:tcBorders>
              <w:top w:val="single" w:color="auto" w:sz="4" w:space="0"/>
              <w:left w:val="single" w:color="auto" w:sz="4" w:space="0"/>
              <w:right w:val="single" w:color="auto" w:sz="4" w:space="0"/>
            </w:tcBorders>
            <w:vAlign w:val="center"/>
          </w:tcPr>
          <w:p w14:paraId="0D2C2B7A">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1154" w:type="dxa"/>
            <w:tcBorders>
              <w:top w:val="single" w:color="auto" w:sz="4" w:space="0"/>
              <w:left w:val="single" w:color="auto" w:sz="4" w:space="0"/>
              <w:right w:val="single" w:color="auto" w:sz="4" w:space="0"/>
            </w:tcBorders>
            <w:vAlign w:val="center"/>
          </w:tcPr>
          <w:p w14:paraId="7EF24148">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定标方法</w:t>
            </w:r>
          </w:p>
        </w:tc>
        <w:tc>
          <w:tcPr>
            <w:tcW w:w="2008" w:type="dxa"/>
            <w:tcBorders>
              <w:top w:val="single" w:color="auto" w:sz="4" w:space="0"/>
              <w:left w:val="single" w:color="auto" w:sz="4" w:space="0"/>
              <w:bottom w:val="single" w:color="auto" w:sz="4" w:space="0"/>
              <w:right w:val="single" w:color="auto" w:sz="4" w:space="0"/>
            </w:tcBorders>
            <w:vAlign w:val="center"/>
          </w:tcPr>
          <w:p w14:paraId="653EEA71">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中</w:t>
            </w:r>
            <w:r>
              <w:rPr>
                <w:rFonts w:hint="eastAsia" w:ascii="仿宋" w:hAnsi="仿宋" w:eastAsia="仿宋" w:cs="仿宋"/>
                <w:color w:val="auto"/>
                <w:kern w:val="0"/>
                <w:szCs w:val="21"/>
                <w:highlight w:val="none"/>
                <w:lang w:val="en-US" w:eastAsia="zh-CN"/>
              </w:rPr>
              <w:t>选</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14:paraId="6D9493B8">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028E1BA8">
            <w:pPr>
              <w:widowControl/>
              <w:spacing w:line="360" w:lineRule="exact"/>
              <w:ind w:firstLine="420" w:firstLineChars="200"/>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lang w:val="en-US" w:eastAsia="zh-CN"/>
              </w:rPr>
              <w:t>对符合性评审、资格评审符合要求的</w:t>
            </w:r>
            <w:r>
              <w:rPr>
                <w:rFonts w:hint="default" w:ascii="仿宋" w:hAnsi="仿宋" w:eastAsia="仿宋" w:cs="仿宋"/>
                <w:color w:val="auto"/>
                <w:kern w:val="0"/>
                <w:szCs w:val="21"/>
                <w:highlight w:val="none"/>
                <w:lang w:eastAsia="zh-CN"/>
              </w:rPr>
              <w:t>参选单位</w:t>
            </w:r>
            <w:r>
              <w:rPr>
                <w:rFonts w:hint="eastAsia" w:ascii="仿宋" w:hAnsi="仿宋" w:eastAsia="仿宋" w:cs="仿宋"/>
                <w:color w:val="auto"/>
                <w:kern w:val="0"/>
                <w:szCs w:val="21"/>
                <w:highlight w:val="none"/>
                <w:lang w:val="en-US" w:eastAsia="zh-CN"/>
              </w:rPr>
              <w:t>进行报价评审，评标委员会按照“资格符合、报价最低”的原则选定中选人，最低报价相同的，采用抽签或摇球方式确定中选候选人排序。</w:t>
            </w:r>
          </w:p>
        </w:tc>
      </w:tr>
      <w:tr w14:paraId="5DF461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jc w:val="center"/>
        </w:trPr>
        <w:tc>
          <w:tcPr>
            <w:tcW w:w="1096" w:type="dxa"/>
            <w:vMerge w:val="restart"/>
            <w:tcBorders>
              <w:top w:val="single" w:color="auto" w:sz="4" w:space="0"/>
              <w:left w:val="single" w:color="auto" w:sz="4" w:space="0"/>
              <w:right w:val="single" w:color="auto" w:sz="4" w:space="0"/>
            </w:tcBorders>
            <w:vAlign w:val="center"/>
          </w:tcPr>
          <w:p w14:paraId="03A6CFE0">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2.1</w:t>
            </w:r>
          </w:p>
        </w:tc>
        <w:tc>
          <w:tcPr>
            <w:tcW w:w="1154" w:type="dxa"/>
            <w:vMerge w:val="restart"/>
            <w:tcBorders>
              <w:top w:val="single" w:color="auto" w:sz="4" w:space="0"/>
              <w:left w:val="nil"/>
              <w:right w:val="single" w:color="auto" w:sz="4" w:space="0"/>
            </w:tcBorders>
            <w:vAlign w:val="center"/>
          </w:tcPr>
          <w:p w14:paraId="3F71EDB5">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符合性</w:t>
            </w:r>
            <w:r>
              <w:rPr>
                <w:rFonts w:hint="eastAsia" w:ascii="仿宋" w:hAnsi="仿宋" w:eastAsia="仿宋" w:cs="仿宋"/>
                <w:color w:val="auto"/>
                <w:kern w:val="0"/>
                <w:szCs w:val="21"/>
                <w:highlight w:val="none"/>
              </w:rPr>
              <w:t>评</w:t>
            </w:r>
          </w:p>
          <w:p w14:paraId="4E5987C8">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审标准</w:t>
            </w:r>
          </w:p>
        </w:tc>
        <w:tc>
          <w:tcPr>
            <w:tcW w:w="2008" w:type="dxa"/>
            <w:tcBorders>
              <w:top w:val="single" w:color="auto" w:sz="4" w:space="0"/>
              <w:left w:val="single" w:color="auto" w:sz="4" w:space="0"/>
              <w:bottom w:val="single" w:color="auto" w:sz="4" w:space="0"/>
              <w:right w:val="single" w:color="auto" w:sz="4" w:space="0"/>
            </w:tcBorders>
            <w:vAlign w:val="center"/>
          </w:tcPr>
          <w:p w14:paraId="2F99B84D">
            <w:pPr>
              <w:widowControl/>
              <w:spacing w:line="36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人名称</w:t>
            </w:r>
          </w:p>
        </w:tc>
        <w:tc>
          <w:tcPr>
            <w:tcW w:w="5200" w:type="dxa"/>
            <w:tcBorders>
              <w:top w:val="single" w:color="auto" w:sz="4" w:space="0"/>
              <w:left w:val="single" w:color="auto" w:sz="4" w:space="0"/>
              <w:bottom w:val="single" w:color="auto" w:sz="4" w:space="0"/>
              <w:right w:val="single" w:color="auto" w:sz="4" w:space="0"/>
            </w:tcBorders>
            <w:vAlign w:val="center"/>
          </w:tcPr>
          <w:p w14:paraId="13B65738">
            <w:pPr>
              <w:widowControl/>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与营业执照、资质证书、安全生产许可证等相关文件一致。</w:t>
            </w:r>
          </w:p>
        </w:tc>
      </w:tr>
      <w:tr w14:paraId="52D72D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8" w:hRule="atLeast"/>
          <w:jc w:val="center"/>
        </w:trPr>
        <w:tc>
          <w:tcPr>
            <w:tcW w:w="1096" w:type="dxa"/>
            <w:vMerge w:val="continue"/>
            <w:tcBorders>
              <w:left w:val="single" w:color="auto" w:sz="4" w:space="0"/>
              <w:right w:val="single" w:color="auto" w:sz="4" w:space="0"/>
            </w:tcBorders>
            <w:vAlign w:val="center"/>
          </w:tcPr>
          <w:p w14:paraId="79326389">
            <w:pPr>
              <w:widowControl/>
              <w:jc w:val="left"/>
              <w:rPr>
                <w:rFonts w:hint="eastAsia" w:ascii="仿宋" w:hAnsi="仿宋" w:eastAsia="仿宋" w:cs="仿宋"/>
                <w:color w:val="auto"/>
                <w:kern w:val="0"/>
                <w:szCs w:val="21"/>
                <w:highlight w:val="none"/>
              </w:rPr>
            </w:pPr>
          </w:p>
        </w:tc>
        <w:tc>
          <w:tcPr>
            <w:tcW w:w="1154" w:type="dxa"/>
            <w:vMerge w:val="continue"/>
            <w:tcBorders>
              <w:left w:val="nil"/>
              <w:right w:val="single" w:color="auto" w:sz="4" w:space="0"/>
            </w:tcBorders>
            <w:vAlign w:val="center"/>
          </w:tcPr>
          <w:p w14:paraId="57947CDB">
            <w:pPr>
              <w:widowControl/>
              <w:jc w:val="left"/>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4B77BFAA">
            <w:pPr>
              <w:widowControl/>
              <w:spacing w:line="360" w:lineRule="exact"/>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人</w:t>
            </w:r>
            <w:r>
              <w:rPr>
                <w:rFonts w:hint="eastAsia" w:ascii="仿宋" w:hAnsi="仿宋" w:eastAsia="仿宋" w:cs="仿宋"/>
                <w:color w:val="auto"/>
                <w:kern w:val="0"/>
                <w:szCs w:val="21"/>
                <w:highlight w:val="none"/>
                <w:lang w:val="en-US" w:eastAsia="zh-CN"/>
              </w:rPr>
              <w:t>签字盖章</w:t>
            </w:r>
          </w:p>
        </w:tc>
        <w:tc>
          <w:tcPr>
            <w:tcW w:w="5200" w:type="dxa"/>
            <w:tcBorders>
              <w:top w:val="single" w:color="auto" w:sz="4" w:space="0"/>
              <w:left w:val="single" w:color="auto" w:sz="4" w:space="0"/>
              <w:bottom w:val="single" w:color="auto" w:sz="4" w:space="0"/>
              <w:right w:val="single" w:color="auto" w:sz="4" w:space="0"/>
            </w:tcBorders>
            <w:vAlign w:val="center"/>
          </w:tcPr>
          <w:p w14:paraId="76ADD2DB">
            <w:pPr>
              <w:widowControl/>
              <w:spacing w:line="360" w:lineRule="exact"/>
              <w:ind w:firstLine="420"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按第三章“参选文件要求”中的规定签字盖章</w:t>
            </w:r>
          </w:p>
        </w:tc>
      </w:tr>
      <w:tr w14:paraId="7E31E9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8" w:hRule="atLeast"/>
          <w:jc w:val="center"/>
        </w:trPr>
        <w:tc>
          <w:tcPr>
            <w:tcW w:w="1096" w:type="dxa"/>
            <w:vMerge w:val="continue"/>
            <w:tcBorders>
              <w:left w:val="single" w:color="auto" w:sz="4" w:space="0"/>
              <w:right w:val="single" w:color="auto" w:sz="4" w:space="0"/>
            </w:tcBorders>
            <w:vAlign w:val="center"/>
          </w:tcPr>
          <w:p w14:paraId="1CC6CA92">
            <w:pPr>
              <w:widowControl/>
              <w:jc w:val="left"/>
              <w:rPr>
                <w:rFonts w:hint="eastAsia" w:ascii="仿宋" w:hAnsi="仿宋" w:eastAsia="仿宋" w:cs="仿宋"/>
                <w:color w:val="auto"/>
                <w:kern w:val="0"/>
                <w:szCs w:val="21"/>
                <w:highlight w:val="none"/>
              </w:rPr>
            </w:pPr>
          </w:p>
        </w:tc>
        <w:tc>
          <w:tcPr>
            <w:tcW w:w="1154" w:type="dxa"/>
            <w:vMerge w:val="continue"/>
            <w:tcBorders>
              <w:left w:val="nil"/>
              <w:right w:val="single" w:color="auto" w:sz="4" w:space="0"/>
            </w:tcBorders>
            <w:vAlign w:val="center"/>
          </w:tcPr>
          <w:p w14:paraId="59916A7E">
            <w:pPr>
              <w:widowControl/>
              <w:jc w:val="left"/>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60B8F901">
            <w:pPr>
              <w:widowControl/>
              <w:spacing w:line="360" w:lineRule="exact"/>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投标保证金</w:t>
            </w:r>
          </w:p>
        </w:tc>
        <w:tc>
          <w:tcPr>
            <w:tcW w:w="5200" w:type="dxa"/>
            <w:tcBorders>
              <w:top w:val="single" w:color="auto" w:sz="4" w:space="0"/>
              <w:left w:val="single" w:color="auto" w:sz="4" w:space="0"/>
              <w:bottom w:val="single" w:color="auto" w:sz="4" w:space="0"/>
              <w:right w:val="single" w:color="auto" w:sz="4" w:space="0"/>
            </w:tcBorders>
            <w:shd w:val="clear" w:color="auto" w:fill="auto"/>
            <w:vAlign w:val="center"/>
          </w:tcPr>
          <w:p w14:paraId="3E4795D8">
            <w:pPr>
              <w:widowControl/>
              <w:spacing w:line="360" w:lineRule="exact"/>
              <w:ind w:firstLine="420" w:firstLineChars="20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符合第二章“参选人须知前附表”第14项规定</w:t>
            </w:r>
          </w:p>
        </w:tc>
      </w:tr>
      <w:tr w14:paraId="448875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9" w:hRule="atLeast"/>
          <w:jc w:val="center"/>
        </w:trPr>
        <w:tc>
          <w:tcPr>
            <w:tcW w:w="1096" w:type="dxa"/>
            <w:vMerge w:val="continue"/>
            <w:tcBorders>
              <w:left w:val="single" w:color="auto" w:sz="4" w:space="0"/>
              <w:right w:val="single" w:color="auto" w:sz="4" w:space="0"/>
            </w:tcBorders>
            <w:vAlign w:val="center"/>
          </w:tcPr>
          <w:p w14:paraId="1EA4754B">
            <w:pPr>
              <w:widowControl/>
              <w:jc w:val="left"/>
              <w:rPr>
                <w:rFonts w:hint="eastAsia" w:ascii="仿宋" w:hAnsi="仿宋" w:eastAsia="仿宋" w:cs="仿宋"/>
                <w:color w:val="auto"/>
                <w:kern w:val="0"/>
                <w:szCs w:val="21"/>
                <w:highlight w:val="none"/>
              </w:rPr>
            </w:pPr>
          </w:p>
        </w:tc>
        <w:tc>
          <w:tcPr>
            <w:tcW w:w="1154" w:type="dxa"/>
            <w:vMerge w:val="continue"/>
            <w:tcBorders>
              <w:left w:val="nil"/>
              <w:right w:val="single" w:color="auto" w:sz="4" w:space="0"/>
            </w:tcBorders>
            <w:vAlign w:val="center"/>
          </w:tcPr>
          <w:p w14:paraId="00974F8D">
            <w:pPr>
              <w:widowControl/>
              <w:jc w:val="left"/>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68783B81">
            <w:pPr>
              <w:widowControl/>
              <w:spacing w:line="360" w:lineRule="exact"/>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14:paraId="211D186C">
            <w:pPr>
              <w:widowControl/>
              <w:spacing w:line="360" w:lineRule="exact"/>
              <w:jc w:val="left"/>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lang w:val="en-US" w:eastAsia="zh-CN"/>
              </w:rPr>
              <w:t>按</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szCs w:val="21"/>
                <w:highlight w:val="none"/>
                <w:lang w:val="en-US" w:eastAsia="zh-CN"/>
              </w:rPr>
              <w:t>附件6报价一览表”要求</w:t>
            </w:r>
            <w:r>
              <w:rPr>
                <w:rFonts w:hint="eastAsia" w:ascii="仿宋" w:hAnsi="仿宋" w:eastAsia="仿宋" w:cs="仿宋"/>
                <w:color w:val="auto"/>
                <w:kern w:val="0"/>
                <w:szCs w:val="21"/>
                <w:highlight w:val="none"/>
                <w:lang w:val="en-US" w:eastAsia="zh-CN"/>
              </w:rPr>
              <w:t>投标报价（附报价清单）</w:t>
            </w:r>
          </w:p>
        </w:tc>
      </w:tr>
      <w:tr w14:paraId="3F76D9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3" w:hRule="atLeast"/>
          <w:jc w:val="center"/>
        </w:trPr>
        <w:tc>
          <w:tcPr>
            <w:tcW w:w="1096" w:type="dxa"/>
            <w:vMerge w:val="continue"/>
            <w:tcBorders>
              <w:left w:val="single" w:color="auto" w:sz="4" w:space="0"/>
              <w:right w:val="single" w:color="auto" w:sz="4" w:space="0"/>
            </w:tcBorders>
            <w:vAlign w:val="center"/>
          </w:tcPr>
          <w:p w14:paraId="70FE9A51">
            <w:pPr>
              <w:widowControl/>
              <w:jc w:val="left"/>
              <w:rPr>
                <w:rFonts w:hint="eastAsia" w:ascii="仿宋" w:hAnsi="仿宋" w:eastAsia="仿宋" w:cs="仿宋"/>
                <w:color w:val="auto"/>
                <w:kern w:val="0"/>
                <w:szCs w:val="21"/>
                <w:highlight w:val="none"/>
              </w:rPr>
            </w:pPr>
          </w:p>
        </w:tc>
        <w:tc>
          <w:tcPr>
            <w:tcW w:w="1154" w:type="dxa"/>
            <w:vMerge w:val="continue"/>
            <w:tcBorders>
              <w:left w:val="nil"/>
              <w:right w:val="single" w:color="auto" w:sz="4" w:space="0"/>
            </w:tcBorders>
            <w:vAlign w:val="center"/>
          </w:tcPr>
          <w:p w14:paraId="31FEB576">
            <w:pPr>
              <w:widowControl/>
              <w:jc w:val="left"/>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75791C25">
            <w:pPr>
              <w:widowControl/>
              <w:spacing w:line="360" w:lineRule="exact"/>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文件</w:t>
            </w:r>
            <w:r>
              <w:rPr>
                <w:rFonts w:hint="eastAsia" w:ascii="仿宋" w:hAnsi="仿宋" w:eastAsia="仿宋" w:cs="仿宋"/>
                <w:color w:val="auto"/>
                <w:kern w:val="0"/>
                <w:szCs w:val="21"/>
                <w:highlight w:val="none"/>
                <w:lang w:val="en-US" w:eastAsia="zh-CN"/>
              </w:rPr>
              <w:t>内容及</w:t>
            </w:r>
            <w:r>
              <w:rPr>
                <w:rFonts w:hint="eastAsia" w:ascii="仿宋" w:hAnsi="仿宋" w:eastAsia="仿宋" w:cs="仿宋"/>
                <w:color w:val="auto"/>
                <w:kern w:val="0"/>
                <w:szCs w:val="21"/>
                <w:highlight w:val="none"/>
              </w:rPr>
              <w:t>格式</w:t>
            </w:r>
          </w:p>
        </w:tc>
        <w:tc>
          <w:tcPr>
            <w:tcW w:w="5200" w:type="dxa"/>
            <w:tcBorders>
              <w:top w:val="single" w:color="auto" w:sz="4" w:space="0"/>
              <w:left w:val="single" w:color="auto" w:sz="4" w:space="0"/>
              <w:bottom w:val="single" w:color="auto" w:sz="4" w:space="0"/>
              <w:right w:val="single" w:color="auto" w:sz="4" w:space="0"/>
            </w:tcBorders>
            <w:vAlign w:val="center"/>
          </w:tcPr>
          <w:p w14:paraId="07F200DB">
            <w:pPr>
              <w:widowControl/>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符合</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三</w:t>
            </w:r>
            <w:r>
              <w:rPr>
                <w:rFonts w:hint="eastAsia" w:ascii="仿宋" w:hAnsi="仿宋" w:eastAsia="仿宋" w:cs="仿宋"/>
                <w:color w:val="auto"/>
                <w:kern w:val="0"/>
                <w:szCs w:val="21"/>
                <w:highlight w:val="none"/>
              </w:rPr>
              <w:t>章</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文件</w:t>
            </w:r>
            <w:r>
              <w:rPr>
                <w:rFonts w:hint="eastAsia" w:ascii="仿宋" w:hAnsi="仿宋" w:eastAsia="仿宋" w:cs="仿宋"/>
                <w:color w:val="auto"/>
                <w:kern w:val="0"/>
                <w:szCs w:val="21"/>
                <w:highlight w:val="none"/>
                <w:lang w:val="en-US" w:eastAsia="zh-CN"/>
              </w:rPr>
              <w:t>要求</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第一条“参选文件编制主要内容及格式”</w:t>
            </w:r>
            <w:r>
              <w:rPr>
                <w:rFonts w:hint="eastAsia" w:ascii="仿宋" w:hAnsi="仿宋" w:eastAsia="仿宋" w:cs="仿宋"/>
                <w:color w:val="auto"/>
                <w:kern w:val="0"/>
                <w:szCs w:val="21"/>
                <w:highlight w:val="none"/>
              </w:rPr>
              <w:t>的规定。</w:t>
            </w:r>
          </w:p>
        </w:tc>
      </w:tr>
      <w:tr w14:paraId="70FD78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5" w:hRule="atLeast"/>
          <w:jc w:val="center"/>
        </w:trPr>
        <w:tc>
          <w:tcPr>
            <w:tcW w:w="1096" w:type="dxa"/>
            <w:vMerge w:val="continue"/>
            <w:tcBorders>
              <w:left w:val="single" w:color="auto" w:sz="4" w:space="0"/>
              <w:right w:val="single" w:color="auto" w:sz="4" w:space="0"/>
            </w:tcBorders>
            <w:vAlign w:val="center"/>
          </w:tcPr>
          <w:p w14:paraId="6F0020E7">
            <w:pPr>
              <w:widowControl/>
              <w:jc w:val="left"/>
              <w:rPr>
                <w:rFonts w:hint="eastAsia" w:ascii="仿宋" w:hAnsi="仿宋" w:eastAsia="仿宋" w:cs="仿宋"/>
                <w:color w:val="auto"/>
                <w:kern w:val="0"/>
                <w:szCs w:val="21"/>
                <w:highlight w:val="none"/>
              </w:rPr>
            </w:pPr>
          </w:p>
        </w:tc>
        <w:tc>
          <w:tcPr>
            <w:tcW w:w="1154" w:type="dxa"/>
            <w:vMerge w:val="continue"/>
            <w:tcBorders>
              <w:left w:val="nil"/>
              <w:right w:val="single" w:color="auto" w:sz="4" w:space="0"/>
            </w:tcBorders>
            <w:vAlign w:val="center"/>
          </w:tcPr>
          <w:p w14:paraId="4761C621">
            <w:pPr>
              <w:widowControl/>
              <w:jc w:val="left"/>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69D53D20">
            <w:pPr>
              <w:widowControl/>
              <w:spacing w:line="360" w:lineRule="exact"/>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文件</w:t>
            </w:r>
            <w:r>
              <w:rPr>
                <w:rFonts w:hint="eastAsia" w:ascii="仿宋" w:hAnsi="仿宋" w:eastAsia="仿宋" w:cs="仿宋"/>
                <w:color w:val="auto"/>
                <w:kern w:val="0"/>
                <w:szCs w:val="21"/>
                <w:highlight w:val="none"/>
                <w:lang w:val="en-US" w:eastAsia="zh-CN"/>
              </w:rPr>
              <w:t>编制</w:t>
            </w:r>
          </w:p>
        </w:tc>
        <w:tc>
          <w:tcPr>
            <w:tcW w:w="5200" w:type="dxa"/>
            <w:tcBorders>
              <w:top w:val="single" w:color="auto" w:sz="4" w:space="0"/>
              <w:left w:val="single" w:color="auto" w:sz="4" w:space="0"/>
              <w:bottom w:val="single" w:color="auto" w:sz="4" w:space="0"/>
              <w:right w:val="single" w:color="auto" w:sz="4" w:space="0"/>
            </w:tcBorders>
            <w:vAlign w:val="center"/>
          </w:tcPr>
          <w:p w14:paraId="5D44ADB1">
            <w:pPr>
              <w:widowControl/>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符合</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三</w:t>
            </w:r>
            <w:r>
              <w:rPr>
                <w:rFonts w:hint="eastAsia" w:ascii="仿宋" w:hAnsi="仿宋" w:eastAsia="仿宋" w:cs="仿宋"/>
                <w:color w:val="auto"/>
                <w:kern w:val="0"/>
                <w:szCs w:val="21"/>
                <w:highlight w:val="none"/>
              </w:rPr>
              <w:t>章</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文件</w:t>
            </w:r>
            <w:r>
              <w:rPr>
                <w:rFonts w:hint="eastAsia" w:ascii="仿宋" w:hAnsi="仿宋" w:eastAsia="仿宋" w:cs="仿宋"/>
                <w:color w:val="auto"/>
                <w:kern w:val="0"/>
                <w:szCs w:val="21"/>
                <w:highlight w:val="none"/>
                <w:lang w:val="en-US" w:eastAsia="zh-CN"/>
              </w:rPr>
              <w:t>要求</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第二条“参选文件编制要求”</w:t>
            </w:r>
            <w:r>
              <w:rPr>
                <w:rFonts w:hint="eastAsia" w:ascii="仿宋" w:hAnsi="仿宋" w:eastAsia="仿宋" w:cs="仿宋"/>
                <w:color w:val="auto"/>
                <w:kern w:val="0"/>
                <w:szCs w:val="21"/>
                <w:highlight w:val="none"/>
              </w:rPr>
              <w:t>的规定。</w:t>
            </w:r>
          </w:p>
        </w:tc>
      </w:tr>
      <w:tr w14:paraId="2DAEA1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26" w:hRule="atLeast"/>
          <w:jc w:val="center"/>
        </w:trPr>
        <w:tc>
          <w:tcPr>
            <w:tcW w:w="1096" w:type="dxa"/>
            <w:vMerge w:val="continue"/>
            <w:tcBorders>
              <w:left w:val="single" w:color="auto" w:sz="4" w:space="0"/>
              <w:bottom w:val="single" w:color="auto" w:sz="4" w:space="0"/>
              <w:right w:val="single" w:color="auto" w:sz="4" w:space="0"/>
            </w:tcBorders>
            <w:vAlign w:val="center"/>
          </w:tcPr>
          <w:p w14:paraId="7D002E11">
            <w:pPr>
              <w:widowControl/>
              <w:jc w:val="left"/>
              <w:rPr>
                <w:rFonts w:hint="eastAsia" w:ascii="仿宋" w:hAnsi="仿宋" w:eastAsia="仿宋" w:cs="仿宋"/>
                <w:color w:val="auto"/>
                <w:kern w:val="0"/>
                <w:szCs w:val="21"/>
                <w:highlight w:val="none"/>
              </w:rPr>
            </w:pPr>
          </w:p>
        </w:tc>
        <w:tc>
          <w:tcPr>
            <w:tcW w:w="1154" w:type="dxa"/>
            <w:vMerge w:val="continue"/>
            <w:tcBorders>
              <w:left w:val="nil"/>
              <w:bottom w:val="nil"/>
              <w:right w:val="single" w:color="auto" w:sz="4" w:space="0"/>
            </w:tcBorders>
            <w:vAlign w:val="center"/>
          </w:tcPr>
          <w:p w14:paraId="288852CA">
            <w:pPr>
              <w:widowControl/>
              <w:spacing w:line="360" w:lineRule="exact"/>
              <w:ind w:firstLine="420" w:firstLineChars="200"/>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14:paraId="28E1C9DB">
            <w:pPr>
              <w:widowControl/>
              <w:spacing w:line="360" w:lineRule="exact"/>
              <w:ind w:firstLine="422" w:firstLineChars="200"/>
              <w:rPr>
                <w:rFonts w:hint="eastAsia" w:ascii="仿宋" w:hAnsi="仿宋" w:eastAsia="仿宋" w:cs="仿宋"/>
                <w:color w:val="auto"/>
                <w:kern w:val="0"/>
                <w:szCs w:val="21"/>
                <w:highlight w:val="none"/>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符合性</w:t>
            </w:r>
            <w:r>
              <w:rPr>
                <w:rFonts w:hint="eastAsia" w:ascii="仿宋" w:hAnsi="仿宋" w:eastAsia="仿宋" w:cs="仿宋"/>
                <w:b/>
                <w:color w:val="auto"/>
                <w:kern w:val="0"/>
                <w:szCs w:val="21"/>
                <w:highlight w:val="none"/>
              </w:rPr>
              <w:t>评审标准不通过，不进入下一步评审，应当否决其</w:t>
            </w:r>
            <w:r>
              <w:rPr>
                <w:rFonts w:hint="eastAsia" w:ascii="仿宋" w:hAnsi="仿宋" w:eastAsia="仿宋" w:cs="仿宋"/>
                <w:b/>
                <w:color w:val="auto"/>
                <w:kern w:val="0"/>
                <w:szCs w:val="21"/>
                <w:highlight w:val="none"/>
                <w:lang w:val="en-US" w:eastAsia="zh-CN"/>
              </w:rPr>
              <w:t>参选</w:t>
            </w:r>
            <w:r>
              <w:rPr>
                <w:rFonts w:hint="eastAsia" w:ascii="仿宋" w:hAnsi="仿宋" w:eastAsia="仿宋" w:cs="仿宋"/>
                <w:b/>
                <w:color w:val="auto"/>
                <w:kern w:val="0"/>
                <w:szCs w:val="21"/>
                <w:highlight w:val="none"/>
              </w:rPr>
              <w:t>。</w:t>
            </w:r>
          </w:p>
        </w:tc>
      </w:tr>
      <w:tr w14:paraId="44E538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6" w:type="dxa"/>
            <w:vMerge w:val="restart"/>
            <w:tcBorders>
              <w:top w:val="single" w:color="auto" w:sz="4" w:space="0"/>
              <w:left w:val="single" w:color="auto" w:sz="4" w:space="0"/>
              <w:right w:val="single" w:color="auto" w:sz="4" w:space="0"/>
            </w:tcBorders>
            <w:vAlign w:val="center"/>
          </w:tcPr>
          <w:p w14:paraId="7A957280">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2.2</w:t>
            </w:r>
          </w:p>
        </w:tc>
        <w:tc>
          <w:tcPr>
            <w:tcW w:w="1154" w:type="dxa"/>
            <w:vMerge w:val="restart"/>
            <w:tcBorders>
              <w:top w:val="single" w:color="auto" w:sz="4" w:space="0"/>
              <w:left w:val="single" w:color="auto" w:sz="4" w:space="0"/>
              <w:right w:val="single" w:color="auto" w:sz="4" w:space="0"/>
            </w:tcBorders>
            <w:vAlign w:val="center"/>
          </w:tcPr>
          <w:p w14:paraId="282BFA44">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资格评</w:t>
            </w:r>
          </w:p>
          <w:p w14:paraId="42ACDD28">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审标准</w:t>
            </w:r>
          </w:p>
        </w:tc>
        <w:tc>
          <w:tcPr>
            <w:tcW w:w="2008" w:type="dxa"/>
            <w:tcBorders>
              <w:top w:val="single" w:color="auto" w:sz="4" w:space="0"/>
              <w:left w:val="single" w:color="auto" w:sz="4" w:space="0"/>
              <w:bottom w:val="single" w:color="auto" w:sz="4" w:space="0"/>
              <w:right w:val="single" w:color="auto" w:sz="4" w:space="0"/>
            </w:tcBorders>
            <w:vAlign w:val="center"/>
          </w:tcPr>
          <w:p w14:paraId="44D49872">
            <w:pPr>
              <w:widowControl/>
              <w:spacing w:line="360" w:lineRule="exac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营业执照</w:t>
            </w:r>
          </w:p>
        </w:tc>
        <w:tc>
          <w:tcPr>
            <w:tcW w:w="5200" w:type="dxa"/>
            <w:tcBorders>
              <w:top w:val="single" w:color="auto" w:sz="4" w:space="0"/>
              <w:left w:val="single" w:color="auto" w:sz="4" w:space="0"/>
              <w:bottom w:val="single" w:color="auto" w:sz="4" w:space="0"/>
              <w:right w:val="single" w:color="auto" w:sz="4" w:space="0"/>
            </w:tcBorders>
            <w:vAlign w:val="center"/>
          </w:tcPr>
          <w:p w14:paraId="274BB611">
            <w:pPr>
              <w:widowControl/>
              <w:spacing w:line="360" w:lineRule="exact"/>
              <w:ind w:firstLine="420" w:firstLineChars="200"/>
              <w:jc w:val="both"/>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人须知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7B399B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6" w:type="dxa"/>
            <w:vMerge w:val="continue"/>
            <w:tcBorders>
              <w:left w:val="single" w:color="auto" w:sz="4" w:space="0"/>
              <w:right w:val="single" w:color="auto" w:sz="4" w:space="0"/>
            </w:tcBorders>
            <w:vAlign w:val="center"/>
          </w:tcPr>
          <w:p w14:paraId="299EA785">
            <w:pPr>
              <w:widowControl/>
              <w:jc w:val="left"/>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73BBC17F">
            <w:pPr>
              <w:widowControl/>
              <w:jc w:val="left"/>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0CD37563">
            <w:pPr>
              <w:widowControl/>
              <w:spacing w:line="360" w:lineRule="exact"/>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rPr>
              <w:t>类似</w:t>
            </w:r>
            <w:r>
              <w:rPr>
                <w:rFonts w:hint="eastAsia" w:ascii="仿宋" w:hAnsi="仿宋" w:eastAsia="仿宋" w:cs="仿宋"/>
                <w:color w:val="auto"/>
                <w:szCs w:val="21"/>
                <w:highlight w:val="none"/>
                <w:lang w:val="en-US" w:eastAsia="zh-CN"/>
              </w:rPr>
              <w:t>项目</w:t>
            </w:r>
            <w:r>
              <w:rPr>
                <w:rFonts w:hint="eastAsia" w:ascii="仿宋" w:hAnsi="仿宋" w:eastAsia="仿宋" w:cs="仿宋"/>
                <w:color w:val="auto"/>
                <w:kern w:val="0"/>
                <w:szCs w:val="21"/>
                <w:highlight w:val="none"/>
              </w:rPr>
              <w:t>业绩要求</w:t>
            </w:r>
          </w:p>
        </w:tc>
        <w:tc>
          <w:tcPr>
            <w:tcW w:w="5200" w:type="dxa"/>
            <w:tcBorders>
              <w:top w:val="single" w:color="auto" w:sz="4" w:space="0"/>
              <w:left w:val="single" w:color="auto" w:sz="4" w:space="0"/>
              <w:bottom w:val="single" w:color="auto" w:sz="4" w:space="0"/>
              <w:right w:val="single" w:color="auto" w:sz="4" w:space="0"/>
            </w:tcBorders>
            <w:vAlign w:val="center"/>
          </w:tcPr>
          <w:p w14:paraId="454C8631">
            <w:pPr>
              <w:widowControl/>
              <w:spacing w:line="360" w:lineRule="exact"/>
              <w:ind w:firstLine="420" w:firstLineChars="200"/>
              <w:jc w:val="both"/>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人须知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28E5B3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6" w:type="dxa"/>
            <w:vMerge w:val="continue"/>
            <w:tcBorders>
              <w:left w:val="single" w:color="auto" w:sz="4" w:space="0"/>
              <w:right w:val="single" w:color="auto" w:sz="4" w:space="0"/>
            </w:tcBorders>
            <w:vAlign w:val="center"/>
          </w:tcPr>
          <w:p w14:paraId="77F1F1C0">
            <w:pPr>
              <w:widowControl/>
              <w:jc w:val="left"/>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1197B7F0">
            <w:pPr>
              <w:widowControl/>
              <w:jc w:val="left"/>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3808A3DD">
            <w:pPr>
              <w:widowControl/>
              <w:spacing w:line="360" w:lineRule="exact"/>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信誉要求</w:t>
            </w:r>
          </w:p>
        </w:tc>
        <w:tc>
          <w:tcPr>
            <w:tcW w:w="5200" w:type="dxa"/>
            <w:tcBorders>
              <w:top w:val="single" w:color="auto" w:sz="4" w:space="0"/>
              <w:left w:val="single" w:color="auto" w:sz="4" w:space="0"/>
              <w:bottom w:val="single" w:color="auto" w:sz="4" w:space="0"/>
              <w:right w:val="single" w:color="auto" w:sz="4" w:space="0"/>
            </w:tcBorders>
            <w:vAlign w:val="center"/>
          </w:tcPr>
          <w:p w14:paraId="18CE54F4">
            <w:pPr>
              <w:widowControl/>
              <w:spacing w:line="360" w:lineRule="exact"/>
              <w:ind w:firstLine="420" w:firstLineChars="200"/>
              <w:jc w:val="both"/>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人须知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5013FC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6" w:type="dxa"/>
            <w:vMerge w:val="continue"/>
            <w:tcBorders>
              <w:left w:val="single" w:color="auto" w:sz="4" w:space="0"/>
              <w:right w:val="single" w:color="auto" w:sz="4" w:space="0"/>
            </w:tcBorders>
            <w:vAlign w:val="center"/>
          </w:tcPr>
          <w:p w14:paraId="1A5B2E3E">
            <w:pPr>
              <w:widowControl/>
              <w:jc w:val="left"/>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33670F08">
            <w:pPr>
              <w:widowControl/>
              <w:jc w:val="left"/>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2E6439A4">
            <w:pPr>
              <w:widowControl/>
              <w:spacing w:line="360" w:lineRule="exact"/>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关联</w:t>
            </w:r>
            <w:r>
              <w:rPr>
                <w:rFonts w:hint="default" w:ascii="仿宋" w:hAnsi="仿宋" w:eastAsia="仿宋" w:cs="仿宋"/>
                <w:color w:val="auto"/>
                <w:kern w:val="0"/>
                <w:szCs w:val="21"/>
                <w:highlight w:val="none"/>
                <w:lang w:val="en-US" w:eastAsia="zh-CN"/>
              </w:rPr>
              <w:t>要求</w:t>
            </w:r>
          </w:p>
        </w:tc>
        <w:tc>
          <w:tcPr>
            <w:tcW w:w="5200" w:type="dxa"/>
            <w:tcBorders>
              <w:top w:val="single" w:color="auto" w:sz="4" w:space="0"/>
              <w:left w:val="single" w:color="auto" w:sz="4" w:space="0"/>
              <w:bottom w:val="single" w:color="auto" w:sz="4" w:space="0"/>
              <w:right w:val="single" w:color="auto" w:sz="4" w:space="0"/>
            </w:tcBorders>
            <w:vAlign w:val="center"/>
          </w:tcPr>
          <w:p w14:paraId="5977F45D">
            <w:pPr>
              <w:widowControl/>
              <w:spacing w:line="360" w:lineRule="exact"/>
              <w:ind w:firstLine="420" w:firstLineChars="200"/>
              <w:jc w:val="both"/>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人须知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1FD6FD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9" w:hRule="atLeast"/>
          <w:jc w:val="center"/>
        </w:trPr>
        <w:tc>
          <w:tcPr>
            <w:tcW w:w="1096" w:type="dxa"/>
            <w:vMerge w:val="continue"/>
            <w:tcBorders>
              <w:left w:val="single" w:color="auto" w:sz="4" w:space="0"/>
              <w:right w:val="single" w:color="auto" w:sz="4" w:space="0"/>
            </w:tcBorders>
            <w:vAlign w:val="center"/>
          </w:tcPr>
          <w:p w14:paraId="2B4F57B6">
            <w:pPr>
              <w:widowControl/>
              <w:jc w:val="left"/>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10629A8E">
            <w:pPr>
              <w:widowControl/>
              <w:jc w:val="left"/>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2C361AAD">
            <w:pPr>
              <w:widowControl/>
              <w:spacing w:line="360" w:lineRule="exact"/>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联合体要求</w:t>
            </w:r>
          </w:p>
        </w:tc>
        <w:tc>
          <w:tcPr>
            <w:tcW w:w="5200" w:type="dxa"/>
            <w:tcBorders>
              <w:top w:val="single" w:color="auto" w:sz="4" w:space="0"/>
              <w:left w:val="single" w:color="auto" w:sz="4" w:space="0"/>
              <w:bottom w:val="single" w:color="auto" w:sz="4" w:space="0"/>
              <w:right w:val="single" w:color="auto" w:sz="4" w:space="0"/>
            </w:tcBorders>
            <w:vAlign w:val="center"/>
          </w:tcPr>
          <w:p w14:paraId="3889CA74">
            <w:pPr>
              <w:widowControl/>
              <w:spacing w:line="360" w:lineRule="exact"/>
              <w:ind w:firstLine="420" w:firstLineChars="200"/>
              <w:jc w:val="both"/>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人须知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6A2552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9" w:hRule="atLeast"/>
          <w:jc w:val="center"/>
        </w:trPr>
        <w:tc>
          <w:tcPr>
            <w:tcW w:w="1096" w:type="dxa"/>
            <w:vMerge w:val="continue"/>
            <w:tcBorders>
              <w:left w:val="single" w:color="auto" w:sz="4" w:space="0"/>
              <w:right w:val="single" w:color="auto" w:sz="4" w:space="0"/>
            </w:tcBorders>
            <w:vAlign w:val="center"/>
          </w:tcPr>
          <w:p w14:paraId="30C82BCF">
            <w:pPr>
              <w:widowControl/>
              <w:jc w:val="left"/>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53C72C05">
            <w:pPr>
              <w:widowControl/>
              <w:jc w:val="left"/>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14:paraId="64654AA9">
            <w:pPr>
              <w:widowControl/>
              <w:spacing w:line="360" w:lineRule="exac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其他要求</w:t>
            </w:r>
          </w:p>
        </w:tc>
        <w:tc>
          <w:tcPr>
            <w:tcW w:w="5200" w:type="dxa"/>
            <w:tcBorders>
              <w:top w:val="single" w:color="auto" w:sz="4" w:space="0"/>
              <w:left w:val="single" w:color="auto" w:sz="4" w:space="0"/>
              <w:bottom w:val="single" w:color="auto" w:sz="4" w:space="0"/>
              <w:right w:val="single" w:color="auto" w:sz="4" w:space="0"/>
            </w:tcBorders>
            <w:vAlign w:val="center"/>
          </w:tcPr>
          <w:p w14:paraId="49A85482">
            <w:pPr>
              <w:widowControl/>
              <w:spacing w:line="360" w:lineRule="exact"/>
              <w:ind w:firstLine="420" w:firstLineChars="200"/>
              <w:jc w:val="both"/>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参选</w:t>
            </w:r>
            <w:r>
              <w:rPr>
                <w:rFonts w:hint="eastAsia" w:ascii="仿宋" w:hAnsi="仿宋" w:eastAsia="仿宋" w:cs="仿宋"/>
                <w:color w:val="auto"/>
                <w:kern w:val="0"/>
                <w:szCs w:val="21"/>
                <w:highlight w:val="none"/>
              </w:rPr>
              <w:t>人须知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11E30B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00" w:hRule="atLeast"/>
          <w:jc w:val="center"/>
        </w:trPr>
        <w:tc>
          <w:tcPr>
            <w:tcW w:w="1096" w:type="dxa"/>
            <w:vMerge w:val="continue"/>
            <w:tcBorders>
              <w:left w:val="single" w:color="auto" w:sz="4" w:space="0"/>
              <w:bottom w:val="single" w:color="auto" w:sz="4" w:space="0"/>
              <w:right w:val="single" w:color="auto" w:sz="4" w:space="0"/>
            </w:tcBorders>
            <w:vAlign w:val="center"/>
          </w:tcPr>
          <w:p w14:paraId="02882604">
            <w:pPr>
              <w:widowControl/>
              <w:jc w:val="left"/>
              <w:rPr>
                <w:rFonts w:hint="eastAsia" w:ascii="仿宋" w:hAnsi="仿宋" w:eastAsia="仿宋" w:cs="仿宋"/>
                <w:color w:val="auto"/>
                <w:kern w:val="0"/>
                <w:szCs w:val="21"/>
                <w:highlight w:val="none"/>
              </w:rPr>
            </w:pPr>
          </w:p>
        </w:tc>
        <w:tc>
          <w:tcPr>
            <w:tcW w:w="1154" w:type="dxa"/>
            <w:vMerge w:val="continue"/>
            <w:tcBorders>
              <w:left w:val="single" w:color="auto" w:sz="4" w:space="0"/>
              <w:bottom w:val="single" w:color="auto" w:sz="4" w:space="0"/>
              <w:right w:val="single" w:color="auto" w:sz="4" w:space="0"/>
            </w:tcBorders>
            <w:vAlign w:val="center"/>
          </w:tcPr>
          <w:p w14:paraId="7BBDFCD5">
            <w:pPr>
              <w:widowControl/>
              <w:jc w:val="left"/>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14:paraId="7F45CA11">
            <w:pPr>
              <w:widowControl/>
              <w:spacing w:line="360" w:lineRule="exact"/>
              <w:ind w:firstLine="422" w:firstLineChars="200"/>
              <w:rPr>
                <w:rFonts w:hint="eastAsia" w:ascii="仿宋" w:hAnsi="仿宋" w:eastAsia="仿宋" w:cs="仿宋"/>
                <w:color w:val="auto"/>
                <w:kern w:val="0"/>
                <w:szCs w:val="21"/>
                <w:highlight w:val="none"/>
                <w:lang w:eastAsia="zh-CN"/>
              </w:rPr>
            </w:pPr>
            <w:r>
              <w:rPr>
                <w:rFonts w:hint="eastAsia" w:ascii="仿宋" w:hAnsi="仿宋" w:eastAsia="仿宋" w:cs="仿宋"/>
                <w:b/>
                <w:color w:val="auto"/>
                <w:kern w:val="0"/>
                <w:szCs w:val="21"/>
                <w:highlight w:val="none"/>
              </w:rPr>
              <w:t>以上评审有一条不通过，则视为资格评审标准不通过，不进入下一步评审，应当否决其</w:t>
            </w:r>
            <w:r>
              <w:rPr>
                <w:rFonts w:hint="eastAsia" w:ascii="仿宋" w:hAnsi="仿宋" w:eastAsia="仿宋" w:cs="仿宋"/>
                <w:b/>
                <w:color w:val="auto"/>
                <w:kern w:val="0"/>
                <w:szCs w:val="21"/>
                <w:highlight w:val="none"/>
                <w:lang w:val="en-US" w:eastAsia="zh-CN"/>
              </w:rPr>
              <w:t>参选</w:t>
            </w:r>
            <w:r>
              <w:rPr>
                <w:rFonts w:hint="eastAsia" w:ascii="仿宋" w:hAnsi="仿宋" w:eastAsia="仿宋" w:cs="仿宋"/>
                <w:b/>
                <w:color w:val="auto"/>
                <w:kern w:val="0"/>
                <w:szCs w:val="21"/>
                <w:highlight w:val="none"/>
                <w:lang w:eastAsia="zh-CN"/>
              </w:rPr>
              <w:t>。</w:t>
            </w:r>
          </w:p>
        </w:tc>
      </w:tr>
      <w:tr w14:paraId="723A45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98" w:hRule="atLeast"/>
          <w:jc w:val="center"/>
        </w:trPr>
        <w:tc>
          <w:tcPr>
            <w:tcW w:w="1096" w:type="dxa"/>
            <w:tcBorders>
              <w:top w:val="single" w:color="auto" w:sz="4" w:space="0"/>
              <w:left w:val="single" w:color="auto" w:sz="4" w:space="0"/>
              <w:bottom w:val="single" w:color="auto" w:sz="4" w:space="0"/>
              <w:right w:val="single" w:color="auto" w:sz="4" w:space="0"/>
            </w:tcBorders>
            <w:vAlign w:val="center"/>
          </w:tcPr>
          <w:p w14:paraId="4EF609D4">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2.3</w:t>
            </w:r>
          </w:p>
        </w:tc>
        <w:tc>
          <w:tcPr>
            <w:tcW w:w="1154" w:type="dxa"/>
            <w:tcBorders>
              <w:top w:val="single" w:color="auto" w:sz="4" w:space="0"/>
              <w:left w:val="single" w:color="auto" w:sz="4" w:space="0"/>
              <w:bottom w:val="single" w:color="auto" w:sz="4" w:space="0"/>
              <w:right w:val="single" w:color="auto" w:sz="4" w:space="0"/>
            </w:tcBorders>
            <w:vAlign w:val="center"/>
          </w:tcPr>
          <w:p w14:paraId="685DF65A">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报价评审标准</w:t>
            </w:r>
          </w:p>
        </w:tc>
        <w:tc>
          <w:tcPr>
            <w:tcW w:w="2008" w:type="dxa"/>
            <w:tcBorders>
              <w:top w:val="single" w:color="auto" w:sz="4" w:space="0"/>
              <w:left w:val="single" w:color="auto" w:sz="4" w:space="0"/>
              <w:bottom w:val="single" w:color="auto" w:sz="4" w:space="0"/>
              <w:right w:val="single" w:color="auto" w:sz="4" w:space="0"/>
            </w:tcBorders>
            <w:vAlign w:val="center"/>
          </w:tcPr>
          <w:p w14:paraId="67C6141C">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14:paraId="525C3B15">
            <w:pPr>
              <w:widowControl/>
              <w:spacing w:line="36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评标委员会按照“资格符合、报价最低”的原则选定服务单位，</w:t>
            </w:r>
            <w:r>
              <w:rPr>
                <w:rFonts w:hint="eastAsia" w:ascii="仿宋" w:hAnsi="仿宋" w:eastAsia="仿宋" w:cs="仿宋"/>
                <w:color w:val="auto"/>
                <w:kern w:val="0"/>
                <w:szCs w:val="21"/>
                <w:highlight w:val="none"/>
                <w:lang w:val="en-US" w:eastAsia="zh-CN"/>
              </w:rPr>
              <w:t>取所有投标人报价平均值的85%作为报价警戒线，报价低于报价警戒线的视为无效报价。</w:t>
            </w:r>
          </w:p>
        </w:tc>
      </w:tr>
    </w:tbl>
    <w:p w14:paraId="73DA9FE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default" w:ascii="Calibri" w:hAnsi="Calibri" w:eastAsia="方正小标宋简体" w:cs="Times New Roman"/>
          <w:bCs/>
          <w:color w:val="auto"/>
          <w:kern w:val="44"/>
          <w:sz w:val="44"/>
          <w:szCs w:val="44"/>
          <w:highlight w:val="none"/>
          <w:lang w:val="en-US" w:eastAsia="zh-CN" w:bidi="ar-SA"/>
        </w:rPr>
      </w:pPr>
    </w:p>
    <w:p w14:paraId="380490C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3EA1416B">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3"/>
        <w:rPr>
          <w:rFonts w:hint="eastAsia" w:ascii="Calibri" w:hAnsi="Calibri" w:eastAsia="方正小标宋简体" w:cs="Times New Roman"/>
          <w:bCs/>
          <w:color w:val="auto"/>
          <w:kern w:val="44"/>
          <w:sz w:val="44"/>
          <w:szCs w:val="44"/>
          <w:highlight w:val="none"/>
          <w:lang w:val="en-US" w:eastAsia="zh-CN" w:bidi="ar-SA"/>
        </w:rPr>
      </w:pPr>
    </w:p>
    <w:p w14:paraId="4A88D413">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r>
        <w:rPr>
          <w:rFonts w:hint="eastAsia" w:eastAsia="宋体"/>
          <w:color w:val="auto"/>
          <w:sz w:val="21"/>
          <w:highlight w:val="none"/>
          <w:lang w:val="en-US" w:eastAsia="zh-CN"/>
        </w:rPr>
        <w:t xml:space="preserve"> </w:t>
      </w:r>
      <w:r>
        <w:rPr>
          <w:rFonts w:hint="eastAsia" w:eastAsia="宋体"/>
          <w:b/>
          <w:bCs/>
          <w:color w:val="auto"/>
          <w:sz w:val="21"/>
          <w:highlight w:val="none"/>
          <w:lang w:val="en-US" w:eastAsia="zh-CN"/>
        </w:rPr>
        <w:t xml:space="preserve"> </w:t>
      </w:r>
      <w:r>
        <w:rPr>
          <w:rFonts w:hint="eastAsia" w:ascii="Calibri" w:hAnsi="Calibri" w:eastAsia="方正小标宋简体" w:cs="Times New Roman"/>
          <w:bCs/>
          <w:color w:val="auto"/>
          <w:kern w:val="44"/>
          <w:sz w:val="44"/>
          <w:szCs w:val="44"/>
          <w:highlight w:val="none"/>
          <w:lang w:val="en-US" w:eastAsia="zh-CN" w:bidi="ar-SA"/>
        </w:rPr>
        <w:t>第五章  合同条款</w:t>
      </w:r>
    </w:p>
    <w:p w14:paraId="6F40FADD">
      <w:pPr>
        <w:widowControl/>
        <w:spacing w:line="500" w:lineRule="exact"/>
        <w:jc w:val="center"/>
        <w:rPr>
          <w:rFonts w:hint="eastAsia" w:ascii="仿宋_GB2312" w:hAnsi="Arial" w:eastAsia="仿宋_GB2312" w:cs="Arial"/>
          <w:b/>
          <w:bCs/>
          <w:color w:val="auto"/>
          <w:kern w:val="0"/>
          <w:sz w:val="44"/>
          <w:szCs w:val="44"/>
          <w:highlight w:val="none"/>
        </w:rPr>
      </w:pPr>
      <w:bookmarkStart w:id="4" w:name="_Hlk204008828"/>
    </w:p>
    <w:p w14:paraId="7F081D73">
      <w:pPr>
        <w:widowControl/>
        <w:spacing w:line="500" w:lineRule="exact"/>
        <w:jc w:val="center"/>
        <w:rPr>
          <w:rFonts w:hint="eastAsia" w:ascii="仿宋_GB2312" w:hAnsi="Arial" w:eastAsia="仿宋_GB2312" w:cs="Arial"/>
          <w:b/>
          <w:bCs/>
          <w:color w:val="auto"/>
          <w:kern w:val="0"/>
          <w:sz w:val="44"/>
          <w:szCs w:val="44"/>
          <w:highlight w:val="none"/>
        </w:rPr>
      </w:pPr>
    </w:p>
    <w:bookmarkEnd w:id="4"/>
    <w:p w14:paraId="6DE4FEFE">
      <w:pPr>
        <w:widowControl/>
        <w:spacing w:line="500" w:lineRule="exact"/>
        <w:jc w:val="center"/>
        <w:rPr>
          <w:rFonts w:hint="eastAsia" w:ascii="宋体" w:hAnsi="宋体" w:cs="宋体"/>
          <w:b/>
          <w:bCs/>
          <w:color w:val="auto"/>
          <w:kern w:val="0"/>
          <w:sz w:val="44"/>
          <w:szCs w:val="44"/>
          <w:highlight w:val="none"/>
        </w:rPr>
      </w:pPr>
      <w:r>
        <w:rPr>
          <w:rFonts w:hint="eastAsia" w:ascii="仿宋_GB2312" w:hAnsi="Arial" w:eastAsia="仿宋_GB2312" w:cs="Arial"/>
          <w:b/>
          <w:bCs/>
          <w:color w:val="auto"/>
          <w:kern w:val="0"/>
          <w:sz w:val="44"/>
          <w:szCs w:val="44"/>
          <w:highlight w:val="none"/>
        </w:rPr>
        <w:t>材料采购协议</w:t>
      </w:r>
    </w:p>
    <w:p w14:paraId="1E315B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left"/>
        <w:rPr>
          <w:rFonts w:hint="eastAsia" w:ascii="仿宋_GB2312" w:hAnsi="新宋体" w:eastAsia="仿宋_GB2312" w:cs="宋体"/>
          <w:b/>
          <w:color w:val="auto"/>
          <w:kern w:val="0"/>
          <w:sz w:val="30"/>
          <w:szCs w:val="30"/>
          <w:highlight w:val="none"/>
        </w:rPr>
      </w:pPr>
    </w:p>
    <w:p w14:paraId="17B27BF5">
      <w:pPr>
        <w:spacing w:line="560" w:lineRule="exact"/>
        <w:ind w:firstLine="420" w:firstLineChars="200"/>
        <w:rPr>
          <w:rFonts w:hint="eastAsia" w:ascii="宋体" w:hAnsi="宋体"/>
          <w:color w:val="auto"/>
          <w:szCs w:val="21"/>
          <w:highlight w:val="none"/>
        </w:rPr>
      </w:pPr>
      <w:r>
        <w:rPr>
          <w:rFonts w:ascii="宋体" w:hAnsi="宋体"/>
          <w:color w:val="auto"/>
          <w:szCs w:val="21"/>
          <w:highlight w:val="none"/>
        </w:rPr>
        <w:t>甲方：</w:t>
      </w:r>
      <w:r>
        <w:rPr>
          <w:rFonts w:hint="eastAsia" w:ascii="宋体" w:hAnsi="宋体" w:cs="宋体"/>
          <w:color w:val="auto"/>
          <w:szCs w:val="21"/>
          <w:highlight w:val="none"/>
          <w:shd w:val="clear" w:color="auto" w:fill="FFFFFF"/>
        </w:rPr>
        <w:t>衡阳公路桥梁建设有限公司</w:t>
      </w:r>
      <w:r>
        <w:rPr>
          <w:rFonts w:hint="eastAsia" w:ascii="宋体" w:hAnsi="宋体" w:cs="宋体"/>
          <w:color w:val="auto"/>
          <w:szCs w:val="21"/>
          <w:highlight w:val="none"/>
          <w:shd w:val="clear" w:color="auto" w:fill="FFFFFF"/>
          <w:lang w:val="en-US" w:eastAsia="zh-CN"/>
        </w:rPr>
        <w:t>常宁</w:t>
      </w:r>
      <w:r>
        <w:rPr>
          <w:rFonts w:hint="eastAsia" w:ascii="宋体" w:hAnsi="宋体" w:cs="宋体"/>
          <w:color w:val="auto"/>
          <w:szCs w:val="21"/>
          <w:highlight w:val="none"/>
          <w:shd w:val="clear" w:color="auto" w:fill="FFFFFF"/>
        </w:rPr>
        <w:t>分公司</w:t>
      </w:r>
    </w:p>
    <w:p w14:paraId="67BC7562">
      <w:pPr>
        <w:tabs>
          <w:tab w:val="left" w:pos="6480"/>
        </w:tabs>
        <w:spacing w:line="560" w:lineRule="exact"/>
        <w:ind w:firstLine="420" w:firstLineChars="200"/>
        <w:rPr>
          <w:rFonts w:hint="eastAsia" w:ascii="宋体" w:hAnsi="宋体"/>
          <w:color w:val="auto"/>
          <w:szCs w:val="21"/>
          <w:highlight w:val="none"/>
        </w:rPr>
      </w:pPr>
      <w:r>
        <w:rPr>
          <w:rFonts w:ascii="宋体" w:hAnsi="宋体"/>
          <w:color w:val="auto"/>
          <w:szCs w:val="21"/>
          <w:highlight w:val="none"/>
        </w:rPr>
        <w:t>注册地址：</w:t>
      </w:r>
      <w:r>
        <w:rPr>
          <w:rFonts w:hint="eastAsia" w:ascii="宋体" w:hAnsi="宋体"/>
          <w:color w:val="auto"/>
          <w:szCs w:val="21"/>
          <w:highlight w:val="none"/>
          <w:lang w:val="en-US" w:eastAsia="zh-CN"/>
        </w:rPr>
        <w:t>湖南省衡阳市常宁市培元街道办事处外环西路201室</w:t>
      </w:r>
      <w:r>
        <w:rPr>
          <w:rFonts w:ascii="宋体" w:hAnsi="宋体"/>
          <w:color w:val="auto"/>
          <w:szCs w:val="21"/>
          <w:highlight w:val="none"/>
        </w:rPr>
        <w:tab/>
      </w:r>
      <w:r>
        <w:rPr>
          <w:rFonts w:ascii="宋体" w:hAnsi="宋体"/>
          <w:color w:val="auto"/>
          <w:szCs w:val="21"/>
          <w:highlight w:val="none"/>
        </w:rPr>
        <w:t>邮编：</w:t>
      </w:r>
      <w:r>
        <w:rPr>
          <w:rFonts w:hint="eastAsia" w:ascii="宋体" w:hAnsi="宋体"/>
          <w:color w:val="auto"/>
          <w:szCs w:val="21"/>
          <w:highlight w:val="none"/>
        </w:rPr>
        <w:t>421001</w:t>
      </w:r>
    </w:p>
    <w:p w14:paraId="09B6E251">
      <w:pPr>
        <w:tabs>
          <w:tab w:val="left" w:pos="6500"/>
        </w:tabs>
        <w:spacing w:line="560" w:lineRule="exact"/>
        <w:ind w:firstLine="420" w:firstLineChars="200"/>
        <w:rPr>
          <w:rFonts w:hint="eastAsia" w:ascii="宋体" w:hAnsi="宋体"/>
          <w:color w:val="auto"/>
          <w:szCs w:val="21"/>
          <w:highlight w:val="none"/>
        </w:rPr>
      </w:pPr>
      <w:r>
        <w:rPr>
          <w:rFonts w:ascii="宋体" w:hAnsi="宋体"/>
          <w:color w:val="auto"/>
          <w:szCs w:val="21"/>
          <w:highlight w:val="none"/>
        </w:rPr>
        <w:t>通讯地址：</w:t>
      </w:r>
      <w:r>
        <w:rPr>
          <w:rFonts w:hint="eastAsia" w:ascii="宋体" w:hAnsi="宋体"/>
          <w:color w:val="auto"/>
          <w:szCs w:val="21"/>
          <w:highlight w:val="none"/>
          <w:lang w:val="en-US" w:eastAsia="zh-CN"/>
        </w:rPr>
        <w:t>湖南省衡阳市常宁市培元街道办事处外环西路201室</w:t>
      </w:r>
      <w:r>
        <w:rPr>
          <w:rFonts w:ascii="宋体" w:hAnsi="宋体"/>
          <w:color w:val="auto"/>
          <w:szCs w:val="21"/>
          <w:highlight w:val="none"/>
        </w:rPr>
        <w:tab/>
      </w:r>
      <w:r>
        <w:rPr>
          <w:rFonts w:ascii="宋体" w:hAnsi="宋体"/>
          <w:color w:val="auto"/>
          <w:szCs w:val="21"/>
          <w:highlight w:val="none"/>
        </w:rPr>
        <w:t>邮编：</w:t>
      </w:r>
      <w:r>
        <w:rPr>
          <w:rFonts w:hint="eastAsia" w:ascii="宋体" w:hAnsi="宋体"/>
          <w:color w:val="auto"/>
          <w:szCs w:val="21"/>
          <w:highlight w:val="none"/>
        </w:rPr>
        <w:t>421001</w:t>
      </w:r>
    </w:p>
    <w:p w14:paraId="40B17805">
      <w:pPr>
        <w:tabs>
          <w:tab w:val="left" w:pos="6460"/>
        </w:tabs>
        <w:spacing w:line="560" w:lineRule="exact"/>
        <w:ind w:firstLine="420" w:firstLineChars="200"/>
        <w:rPr>
          <w:rFonts w:hint="eastAsia" w:ascii="宋体" w:hAnsi="宋体"/>
          <w:color w:val="auto"/>
          <w:szCs w:val="21"/>
          <w:highlight w:val="none"/>
        </w:rPr>
      </w:pPr>
      <w:r>
        <w:rPr>
          <w:rFonts w:ascii="宋体" w:hAnsi="宋体"/>
          <w:color w:val="auto"/>
          <w:szCs w:val="21"/>
          <w:highlight w:val="none"/>
        </w:rPr>
        <w:t>法定代表人：</w:t>
      </w:r>
      <w:r>
        <w:rPr>
          <w:rFonts w:hint="eastAsia" w:ascii="宋体" w:hAnsi="宋体"/>
          <w:color w:val="auto"/>
          <w:szCs w:val="21"/>
          <w:highlight w:val="none"/>
          <w:lang w:val="en-US" w:eastAsia="zh-CN"/>
        </w:rPr>
        <w:t>尹仁贵</w:t>
      </w:r>
      <w:r>
        <w:rPr>
          <w:rFonts w:hint="eastAsia" w:ascii="宋体" w:hAnsi="宋体" w:cs="宋体"/>
          <w:color w:val="auto"/>
          <w:szCs w:val="21"/>
          <w:highlight w:val="none"/>
          <w:shd w:val="clear" w:color="auto" w:fill="FFFFFF"/>
        </w:rPr>
        <w:t xml:space="preserve"> </w:t>
      </w:r>
      <w:r>
        <w:rPr>
          <w:rFonts w:ascii="宋体" w:hAnsi="宋体"/>
          <w:color w:val="auto"/>
          <w:szCs w:val="21"/>
          <w:highlight w:val="none"/>
        </w:rPr>
        <w:tab/>
      </w:r>
      <w:r>
        <w:rPr>
          <w:rFonts w:ascii="宋体" w:hAnsi="宋体"/>
          <w:color w:val="auto"/>
          <w:szCs w:val="21"/>
          <w:highlight w:val="none"/>
        </w:rPr>
        <w:t>职务：</w:t>
      </w:r>
      <w:r>
        <w:rPr>
          <w:rFonts w:hint="eastAsia" w:ascii="宋体" w:hAnsi="宋体"/>
          <w:color w:val="auto"/>
          <w:szCs w:val="21"/>
          <w:highlight w:val="none"/>
        </w:rPr>
        <w:t>董事长</w:t>
      </w:r>
    </w:p>
    <w:p w14:paraId="6543D7AD">
      <w:pPr>
        <w:spacing w:line="560" w:lineRule="exact"/>
        <w:ind w:firstLine="420" w:firstLineChars="200"/>
        <w:rPr>
          <w:rFonts w:ascii="宋体" w:hAnsi="宋体"/>
          <w:color w:val="auto"/>
          <w:szCs w:val="21"/>
          <w:highlight w:val="none"/>
        </w:rPr>
      </w:pPr>
      <w:r>
        <w:rPr>
          <w:rFonts w:ascii="宋体" w:hAnsi="宋体"/>
          <w:color w:val="auto"/>
          <w:szCs w:val="21"/>
          <w:highlight w:val="none"/>
        </w:rPr>
        <w:t>纳税人身份：</w:t>
      </w:r>
      <w:r>
        <w:rPr>
          <w:rFonts w:hint="eastAsia" w:ascii="宋体" w:hAnsi="宋体"/>
          <w:color w:val="auto"/>
          <w:szCs w:val="21"/>
          <w:highlight w:val="none"/>
        </w:rPr>
        <w:t>增值税</w:t>
      </w:r>
      <w:r>
        <w:rPr>
          <w:rFonts w:ascii="宋体" w:hAnsi="宋体"/>
          <w:color w:val="auto"/>
          <w:szCs w:val="21"/>
          <w:highlight w:val="none"/>
        </w:rPr>
        <w:t>一般纳税人</w:t>
      </w:r>
    </w:p>
    <w:p w14:paraId="35A4C4D0">
      <w:pPr>
        <w:spacing w:line="560" w:lineRule="exact"/>
        <w:ind w:firstLine="420" w:firstLineChars="200"/>
        <w:rPr>
          <w:rFonts w:hint="eastAsia" w:ascii="宋体" w:hAnsi="宋体"/>
          <w:color w:val="auto"/>
          <w:szCs w:val="21"/>
          <w:highlight w:val="none"/>
        </w:rPr>
      </w:pPr>
      <w:r>
        <w:rPr>
          <w:rFonts w:ascii="宋体" w:hAnsi="宋体"/>
          <w:color w:val="auto"/>
          <w:szCs w:val="21"/>
          <w:highlight w:val="none"/>
        </w:rPr>
        <w:t>纳税人识别号</w:t>
      </w:r>
      <w:r>
        <w:rPr>
          <w:rFonts w:hint="eastAsia" w:ascii="宋体" w:hAnsi="宋体"/>
          <w:color w:val="auto"/>
          <w:szCs w:val="21"/>
          <w:highlight w:val="none"/>
        </w:rPr>
        <w:t>：</w:t>
      </w:r>
      <w:r>
        <w:rPr>
          <w:rFonts w:hint="eastAsia" w:ascii="宋体" w:hAnsi="宋体"/>
          <w:color w:val="auto"/>
          <w:szCs w:val="21"/>
          <w:highlight w:val="none"/>
          <w:lang w:val="en-US" w:eastAsia="zh-CN"/>
        </w:rPr>
        <w:t>91430482MA7EYKUB3A</w:t>
      </w:r>
    </w:p>
    <w:p w14:paraId="01E1710F">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基本存款账户</w:t>
      </w:r>
      <w:r>
        <w:rPr>
          <w:rFonts w:ascii="宋体" w:hAnsi="宋体"/>
          <w:color w:val="auto"/>
          <w:szCs w:val="21"/>
          <w:highlight w:val="none"/>
        </w:rPr>
        <w:t>银行名称：</w:t>
      </w:r>
      <w:r>
        <w:rPr>
          <w:rFonts w:hint="eastAsia" w:ascii="宋体" w:hAnsi="宋体"/>
          <w:color w:val="auto"/>
          <w:szCs w:val="21"/>
          <w:highlight w:val="none"/>
          <w:lang w:val="en-US" w:eastAsia="zh-CN"/>
        </w:rPr>
        <w:t>长沙银行股份有限公司常宁支行</w:t>
      </w:r>
    </w:p>
    <w:p w14:paraId="51673593">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基本存款账户</w:t>
      </w:r>
      <w:r>
        <w:rPr>
          <w:rFonts w:ascii="宋体" w:hAnsi="宋体"/>
          <w:color w:val="auto"/>
          <w:szCs w:val="21"/>
          <w:highlight w:val="none"/>
        </w:rPr>
        <w:t>银行</w:t>
      </w:r>
      <w:r>
        <w:rPr>
          <w:rFonts w:hint="eastAsia" w:ascii="宋体" w:hAnsi="宋体"/>
          <w:color w:val="auto"/>
          <w:szCs w:val="21"/>
          <w:highlight w:val="none"/>
        </w:rPr>
        <w:t>账号</w:t>
      </w:r>
      <w:r>
        <w:rPr>
          <w:rFonts w:ascii="宋体" w:hAnsi="宋体"/>
          <w:color w:val="auto"/>
          <w:szCs w:val="21"/>
          <w:highlight w:val="none"/>
        </w:rPr>
        <w:t>：</w:t>
      </w:r>
      <w:r>
        <w:rPr>
          <w:rFonts w:hint="eastAsia" w:ascii="宋体" w:hAnsi="宋体"/>
          <w:color w:val="auto"/>
          <w:szCs w:val="21"/>
          <w:highlight w:val="none"/>
          <w:lang w:val="en-US" w:eastAsia="zh-CN"/>
        </w:rPr>
        <w:t>8100 0034 6224 0000 01</w:t>
      </w:r>
    </w:p>
    <w:p w14:paraId="6B7B1913">
      <w:pPr>
        <w:spacing w:line="560" w:lineRule="exact"/>
        <w:ind w:firstLine="420" w:firstLineChars="200"/>
        <w:rPr>
          <w:rFonts w:hint="eastAsia" w:ascii="宋体" w:hAnsi="宋体"/>
          <w:color w:val="auto"/>
          <w:szCs w:val="21"/>
          <w:highlight w:val="none"/>
        </w:rPr>
      </w:pPr>
      <w:r>
        <w:rPr>
          <w:rFonts w:ascii="宋体" w:hAnsi="宋体"/>
          <w:color w:val="auto"/>
          <w:szCs w:val="21"/>
          <w:highlight w:val="none"/>
        </w:rPr>
        <w:t>乙方：</w:t>
      </w:r>
      <w:r>
        <w:rPr>
          <w:rFonts w:hint="eastAsia" w:ascii="宋体" w:hAnsi="宋体"/>
          <w:color w:val="auto"/>
          <w:szCs w:val="21"/>
          <w:highlight w:val="none"/>
        </w:rPr>
        <w:t xml:space="preserve"> </w:t>
      </w:r>
    </w:p>
    <w:p w14:paraId="46ECFC14">
      <w:pPr>
        <w:tabs>
          <w:tab w:val="left" w:pos="6870"/>
        </w:tabs>
        <w:spacing w:line="560" w:lineRule="exact"/>
        <w:ind w:firstLine="420" w:firstLineChars="200"/>
        <w:rPr>
          <w:rFonts w:hint="eastAsia" w:ascii="宋体" w:hAnsi="宋体"/>
          <w:color w:val="auto"/>
          <w:szCs w:val="21"/>
          <w:highlight w:val="none"/>
        </w:rPr>
      </w:pPr>
      <w:r>
        <w:rPr>
          <w:rFonts w:ascii="宋体" w:hAnsi="宋体"/>
          <w:color w:val="auto"/>
          <w:szCs w:val="21"/>
          <w:highlight w:val="none"/>
        </w:rPr>
        <w:t>注册地址 :</w:t>
      </w:r>
      <w:r>
        <w:rPr>
          <w:rFonts w:ascii="宋体" w:hAnsi="宋体"/>
          <w:color w:val="auto"/>
          <w:szCs w:val="21"/>
          <w:highlight w:val="none"/>
        </w:rPr>
        <w:tab/>
      </w:r>
      <w:r>
        <w:rPr>
          <w:rFonts w:ascii="宋体" w:hAnsi="宋体"/>
          <w:color w:val="auto"/>
          <w:szCs w:val="21"/>
          <w:highlight w:val="none"/>
        </w:rPr>
        <w:t>邮编：</w:t>
      </w:r>
    </w:p>
    <w:p w14:paraId="7C98F1E7">
      <w:pPr>
        <w:tabs>
          <w:tab w:val="left" w:pos="6880"/>
        </w:tabs>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通讯地址 </w:t>
      </w:r>
      <w:r>
        <w:rPr>
          <w:rFonts w:ascii="宋体" w:hAnsi="宋体"/>
          <w:color w:val="auto"/>
          <w:szCs w:val="21"/>
          <w:highlight w:val="none"/>
        </w:rPr>
        <w:t>：</w:t>
      </w:r>
      <w:r>
        <w:rPr>
          <w:rFonts w:ascii="宋体" w:hAnsi="宋体"/>
          <w:color w:val="auto"/>
          <w:szCs w:val="21"/>
          <w:highlight w:val="none"/>
        </w:rPr>
        <w:tab/>
      </w:r>
      <w:r>
        <w:rPr>
          <w:rFonts w:ascii="宋体" w:hAnsi="宋体"/>
          <w:color w:val="auto"/>
          <w:szCs w:val="21"/>
          <w:highlight w:val="none"/>
        </w:rPr>
        <w:t>邮编：</w:t>
      </w:r>
    </w:p>
    <w:p w14:paraId="6F812ABE">
      <w:pPr>
        <w:tabs>
          <w:tab w:val="left" w:pos="6880"/>
        </w:tabs>
        <w:spacing w:line="560" w:lineRule="exact"/>
        <w:ind w:firstLine="420" w:firstLineChars="200"/>
        <w:rPr>
          <w:rFonts w:hint="eastAsia" w:ascii="宋体" w:hAnsi="宋体"/>
          <w:color w:val="auto"/>
          <w:szCs w:val="21"/>
          <w:highlight w:val="none"/>
        </w:rPr>
      </w:pPr>
      <w:r>
        <w:rPr>
          <w:rFonts w:ascii="宋体" w:hAnsi="宋体"/>
          <w:color w:val="auto"/>
          <w:szCs w:val="21"/>
          <w:highlight w:val="none"/>
        </w:rPr>
        <w:t>法定代表人：</w:t>
      </w:r>
      <w:r>
        <w:rPr>
          <w:rFonts w:ascii="宋体" w:hAnsi="宋体"/>
          <w:color w:val="auto"/>
          <w:szCs w:val="21"/>
          <w:highlight w:val="none"/>
        </w:rPr>
        <w:tab/>
      </w:r>
      <w:r>
        <w:rPr>
          <w:rFonts w:ascii="宋体" w:hAnsi="宋体"/>
          <w:color w:val="auto"/>
          <w:szCs w:val="21"/>
          <w:highlight w:val="none"/>
        </w:rPr>
        <w:t>职务：</w:t>
      </w:r>
      <w:r>
        <w:rPr>
          <w:rFonts w:hint="eastAsia" w:ascii="宋体" w:hAnsi="宋体"/>
          <w:color w:val="auto"/>
          <w:szCs w:val="21"/>
          <w:highlight w:val="none"/>
        </w:rPr>
        <w:t xml:space="preserve"> </w:t>
      </w:r>
    </w:p>
    <w:p w14:paraId="00D77066">
      <w:pPr>
        <w:spacing w:line="560" w:lineRule="exact"/>
        <w:ind w:firstLine="420" w:firstLineChars="200"/>
        <w:rPr>
          <w:rFonts w:hint="eastAsia" w:ascii="宋体" w:hAnsi="宋体"/>
          <w:color w:val="auto"/>
          <w:szCs w:val="21"/>
          <w:highlight w:val="none"/>
        </w:rPr>
      </w:pPr>
      <w:r>
        <w:rPr>
          <w:rFonts w:ascii="宋体" w:hAnsi="宋体"/>
          <w:color w:val="auto"/>
          <w:szCs w:val="21"/>
          <w:highlight w:val="none"/>
        </w:rPr>
        <w:t>纳税人身份：</w:t>
      </w:r>
      <w:r>
        <w:rPr>
          <w:rFonts w:hint="eastAsia" w:ascii="宋体" w:hAnsi="宋体"/>
          <w:color w:val="auto"/>
          <w:szCs w:val="21"/>
          <w:highlight w:val="none"/>
        </w:rPr>
        <w:t xml:space="preserve"> </w:t>
      </w:r>
    </w:p>
    <w:p w14:paraId="4DC2291A">
      <w:pPr>
        <w:spacing w:line="560" w:lineRule="exact"/>
        <w:ind w:left="420" w:leftChars="200"/>
        <w:rPr>
          <w:rFonts w:hint="eastAsia" w:ascii="宋体" w:hAnsi="宋体"/>
          <w:color w:val="auto"/>
          <w:szCs w:val="21"/>
          <w:highlight w:val="none"/>
        </w:rPr>
      </w:pPr>
      <w:r>
        <w:rPr>
          <w:rFonts w:ascii="宋体" w:hAnsi="宋体"/>
          <w:color w:val="auto"/>
          <w:szCs w:val="21"/>
          <w:highlight w:val="none"/>
        </w:rPr>
        <w:t>纳税人识别号</w:t>
      </w:r>
      <w:r>
        <w:rPr>
          <w:rFonts w:hint="eastAsia" w:ascii="宋体" w:hAnsi="宋体"/>
          <w:color w:val="auto"/>
          <w:szCs w:val="21"/>
          <w:highlight w:val="none"/>
        </w:rPr>
        <w:t>：</w:t>
      </w:r>
    </w:p>
    <w:p w14:paraId="19FC8380">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基本存款账户</w:t>
      </w:r>
      <w:r>
        <w:rPr>
          <w:rFonts w:ascii="宋体" w:hAnsi="宋体"/>
          <w:color w:val="auto"/>
          <w:szCs w:val="21"/>
          <w:highlight w:val="none"/>
        </w:rPr>
        <w:t xml:space="preserve">银行名称： </w:t>
      </w:r>
    </w:p>
    <w:p w14:paraId="54F0E51D">
      <w:pPr>
        <w:spacing w:line="56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基本存款账户</w:t>
      </w:r>
      <w:r>
        <w:rPr>
          <w:rFonts w:ascii="宋体" w:hAnsi="宋体"/>
          <w:color w:val="auto"/>
          <w:szCs w:val="21"/>
          <w:highlight w:val="none"/>
        </w:rPr>
        <w:t>银行</w:t>
      </w:r>
      <w:r>
        <w:rPr>
          <w:rFonts w:hint="eastAsia" w:ascii="宋体" w:hAnsi="宋体"/>
          <w:color w:val="auto"/>
          <w:szCs w:val="21"/>
          <w:highlight w:val="none"/>
        </w:rPr>
        <w:t>账号</w:t>
      </w:r>
      <w:r>
        <w:rPr>
          <w:rFonts w:ascii="宋体" w:hAnsi="宋体"/>
          <w:color w:val="auto"/>
          <w:szCs w:val="21"/>
          <w:highlight w:val="none"/>
        </w:rPr>
        <w:t>：</w:t>
      </w:r>
      <w:r>
        <w:rPr>
          <w:rFonts w:hint="eastAsia" w:ascii="宋体" w:hAnsi="宋体" w:cs="宋体"/>
          <w:color w:val="auto"/>
          <w:szCs w:val="21"/>
          <w:highlight w:val="none"/>
        </w:rPr>
        <w:t xml:space="preserve"> </w:t>
      </w:r>
    </w:p>
    <w:p w14:paraId="60499048">
      <w:pPr>
        <w:widowControl/>
        <w:kinsoku w:val="0"/>
        <w:autoSpaceDE w:val="0"/>
        <w:autoSpaceDN w:val="0"/>
        <w:adjustRightInd w:val="0"/>
        <w:snapToGrid w:val="0"/>
        <w:spacing w:line="560" w:lineRule="exact"/>
        <w:ind w:firstLine="420" w:firstLineChars="200"/>
        <w:textAlignment w:val="baseline"/>
        <w:rPr>
          <w:rFonts w:ascii="Arial"/>
          <w:color w:val="auto"/>
          <w:highlight w:val="none"/>
        </w:rPr>
      </w:pPr>
      <w:r>
        <w:rPr>
          <w:rFonts w:hint="eastAsia" w:ascii="宋体" w:hAnsi="宋体"/>
          <w:color w:val="auto"/>
          <w:szCs w:val="21"/>
          <w:highlight w:val="none"/>
        </w:rPr>
        <w:t>签约地点</w:t>
      </w:r>
    </w:p>
    <w:p w14:paraId="51A525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jc w:val="left"/>
        <w:rPr>
          <w:rFonts w:hint="eastAsia" w:ascii="宋体" w:hAnsi="宋体"/>
          <w:color w:val="auto"/>
          <w:szCs w:val="21"/>
          <w:highlight w:val="none"/>
        </w:rPr>
      </w:pPr>
      <w:r>
        <w:rPr>
          <w:rFonts w:hint="eastAsia" w:ascii="宋体" w:hAnsi="宋体" w:cs="宋体"/>
          <w:color w:val="auto"/>
          <w:kern w:val="0"/>
          <w:szCs w:val="21"/>
          <w:highlight w:val="none"/>
        </w:rPr>
        <w:t>甲方因</w:t>
      </w:r>
      <w:r>
        <w:rPr>
          <w:rFonts w:hint="eastAsia" w:ascii="宋体" w:hAnsi="宋体" w:cs="宋体"/>
          <w:color w:val="auto"/>
          <w:kern w:val="0"/>
          <w:szCs w:val="21"/>
          <w:highlight w:val="none"/>
          <w:u w:val="single"/>
        </w:rPr>
        <w:t xml:space="preserve"> </w:t>
      </w:r>
      <w:r>
        <w:rPr>
          <w:rFonts w:hint="eastAsia" w:ascii="仿宋" w:hAnsi="仿宋" w:eastAsia="仿宋" w:cs="Times New Roman"/>
          <w:color w:val="auto"/>
          <w:kern w:val="0"/>
          <w:sz w:val="24"/>
          <w:szCs w:val="24"/>
          <w:highlight w:val="none"/>
          <w:u w:val="single"/>
          <w:lang w:val="en-US" w:eastAsia="zh-CN"/>
        </w:rPr>
        <w:t>G234常宁市新河至蒲竹公路工程一期</w:t>
      </w:r>
      <w:r>
        <w:rPr>
          <w:rFonts w:hint="eastAsia" w:ascii="宋体" w:hAnsi="宋体" w:cs="宋体"/>
          <w:b/>
          <w:color w:val="auto"/>
          <w:kern w:val="0"/>
          <w:szCs w:val="21"/>
          <w:highlight w:val="none"/>
          <w:u w:val="single"/>
        </w:rPr>
        <w:t xml:space="preserve"> </w:t>
      </w:r>
      <w:r>
        <w:rPr>
          <w:rFonts w:hint="eastAsia" w:ascii="宋体" w:hAnsi="宋体" w:cs="宋体"/>
          <w:color w:val="auto"/>
          <w:kern w:val="0"/>
          <w:szCs w:val="21"/>
          <w:highlight w:val="none"/>
        </w:rPr>
        <w:t>工程项目建设的需要，现需要从乙方采购</w:t>
      </w:r>
      <w:bookmarkStart w:id="5" w:name="OLE_LINK45"/>
      <w:r>
        <w:rPr>
          <w:rFonts w:hint="eastAsia" w:ascii="宋体" w:hAnsi="宋体"/>
          <w:color w:val="auto"/>
          <w:w w:val="99"/>
          <w:szCs w:val="21"/>
          <w:highlight w:val="none"/>
          <w:u w:val="single"/>
          <w:lang w:eastAsia="zh-CN"/>
        </w:rPr>
        <w:t>改性沥青及沥青混凝土</w:t>
      </w:r>
      <w:r>
        <w:rPr>
          <w:rFonts w:hint="eastAsia" w:ascii="宋体" w:hAnsi="宋体" w:cs="宋体"/>
          <w:color w:val="auto"/>
          <w:kern w:val="0"/>
          <w:szCs w:val="21"/>
          <w:highlight w:val="none"/>
        </w:rPr>
        <w:t>根据《中华人民共和国民</w:t>
      </w:r>
      <w:bookmarkEnd w:id="5"/>
      <w:r>
        <w:rPr>
          <w:rFonts w:hint="eastAsia" w:ascii="宋体" w:hAnsi="宋体" w:cs="宋体"/>
          <w:color w:val="auto"/>
          <w:kern w:val="0"/>
          <w:szCs w:val="21"/>
          <w:highlight w:val="none"/>
        </w:rPr>
        <w:t>法典》及其他有关法律、法规的规定，遵循平等、自愿、公开和诚信守信的原则，经甲乙双方充分协商，甲方选定乙方为</w:t>
      </w:r>
      <w:r>
        <w:rPr>
          <w:rFonts w:hint="eastAsia" w:ascii="宋体" w:hAnsi="宋体"/>
          <w:color w:val="auto"/>
          <w:w w:val="99"/>
          <w:szCs w:val="21"/>
          <w:highlight w:val="none"/>
          <w:u w:val="single"/>
          <w:lang w:eastAsia="zh-CN"/>
        </w:rPr>
        <w:t>改性沥青及沥青混凝土</w:t>
      </w:r>
      <w:r>
        <w:rPr>
          <w:rFonts w:hint="eastAsia" w:ascii="宋体" w:hAnsi="宋体" w:cs="宋体"/>
          <w:color w:val="auto"/>
          <w:kern w:val="0"/>
          <w:szCs w:val="21"/>
          <w:highlight w:val="none"/>
        </w:rPr>
        <w:t>供应商，特订立本合同，以供双方共同遵照执行。</w:t>
      </w:r>
      <w:r>
        <w:rPr>
          <w:rFonts w:hint="eastAsia" w:ascii="宋体" w:hAnsi="宋体"/>
          <w:color w:val="auto"/>
          <w:szCs w:val="21"/>
          <w:highlight w:val="none"/>
        </w:rPr>
        <w:t xml:space="preserve">                      </w:t>
      </w:r>
    </w:p>
    <w:p w14:paraId="1B123E61">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第一条、材料的名称、产地及数量</w:t>
      </w:r>
    </w:p>
    <w:p w14:paraId="2A93DC8D">
      <w:pPr>
        <w:widowControl/>
        <w:spacing w:line="500" w:lineRule="exact"/>
        <w:ind w:firstLine="420" w:firstLineChars="200"/>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1.1 材料的名称：</w:t>
      </w:r>
      <w:r>
        <w:rPr>
          <w:rFonts w:hint="eastAsia" w:ascii="宋体" w:hAnsi="宋体"/>
          <w:color w:val="auto"/>
          <w:w w:val="99"/>
          <w:szCs w:val="21"/>
          <w:highlight w:val="none"/>
          <w:u w:val="single"/>
          <w:lang w:eastAsia="zh-CN"/>
        </w:rPr>
        <w:t>改性沥青及沥青混凝土</w:t>
      </w:r>
    </w:p>
    <w:p w14:paraId="094CD513">
      <w:pPr>
        <w:widowControl/>
        <w:spacing w:line="500" w:lineRule="exact"/>
        <w:ind w:firstLine="420" w:firstLineChars="200"/>
        <w:jc w:val="left"/>
        <w:rPr>
          <w:rFonts w:hint="eastAsia" w:ascii="宋体" w:hAnsi="宋体" w:eastAsia="宋体" w:cs="宋体"/>
          <w:color w:val="auto"/>
          <w:kern w:val="0"/>
          <w:szCs w:val="21"/>
          <w:highlight w:val="none"/>
          <w:u w:val="single"/>
          <w:lang w:eastAsia="zh-CN"/>
        </w:rPr>
      </w:pPr>
      <w:r>
        <w:rPr>
          <w:rFonts w:hint="eastAsia" w:ascii="宋体" w:hAnsi="宋体" w:cs="宋体"/>
          <w:color w:val="auto"/>
          <w:kern w:val="0"/>
          <w:szCs w:val="21"/>
          <w:highlight w:val="none"/>
        </w:rPr>
        <w:t>1.2 材料的规格：</w:t>
      </w:r>
      <w:r>
        <w:rPr>
          <w:rFonts w:hint="eastAsia" w:ascii="宋体" w:hAnsi="宋体"/>
          <w:color w:val="auto"/>
          <w:w w:val="99"/>
          <w:szCs w:val="21"/>
          <w:highlight w:val="none"/>
          <w:u w:val="single"/>
          <w:lang w:val="en-US" w:eastAsia="zh-CN"/>
        </w:rPr>
        <w:t>40mm细粒式改性沥青混凝土、50mm中粒式沥青混凝土</w:t>
      </w:r>
    </w:p>
    <w:p w14:paraId="1D5C90E5">
      <w:pPr>
        <w:widowControl/>
        <w:spacing w:line="5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s="宋体"/>
          <w:color w:val="auto"/>
          <w:kern w:val="0"/>
          <w:szCs w:val="21"/>
          <w:highlight w:val="none"/>
        </w:rPr>
        <w:t>1.3 材料原产地：</w:t>
      </w:r>
      <w:r>
        <w:rPr>
          <w:rFonts w:hint="eastAsia" w:ascii="宋体" w:hAnsi="宋体"/>
          <w:color w:val="auto"/>
          <w:szCs w:val="21"/>
          <w:highlight w:val="none"/>
        </w:rPr>
        <w:t>湖南省</w:t>
      </w:r>
      <w:r>
        <w:rPr>
          <w:rFonts w:hint="eastAsia" w:ascii="宋体" w:hAnsi="宋体"/>
          <w:color w:val="auto"/>
          <w:szCs w:val="21"/>
          <w:highlight w:val="none"/>
          <w:lang w:val="en-US" w:eastAsia="zh-CN"/>
        </w:rPr>
        <w:t>常宁市</w:t>
      </w:r>
    </w:p>
    <w:p w14:paraId="35B7267C">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第二条、质量要求</w:t>
      </w:r>
    </w:p>
    <w:p w14:paraId="54000D79">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2.1 材料的各项技术指标应同时满足以下规范标准要求：</w:t>
      </w:r>
      <w:bookmarkStart w:id="6" w:name="_Hlk203553706"/>
      <w:r>
        <w:rPr>
          <w:rFonts w:hint="eastAsia" w:ascii="宋体" w:hAnsi="宋体" w:cs="宋体"/>
          <w:color w:val="auto"/>
          <w:kern w:val="0"/>
          <w:szCs w:val="21"/>
          <w:highlight w:val="none"/>
        </w:rPr>
        <w:t xml:space="preserve"> </w:t>
      </w:r>
    </w:p>
    <w:bookmarkEnd w:id="6"/>
    <w:p w14:paraId="5DE6039B">
      <w:pPr>
        <w:widowControl/>
        <w:spacing w:line="500" w:lineRule="exact"/>
        <w:ind w:firstLine="315" w:firstLineChars="150"/>
        <w:jc w:val="left"/>
        <w:rPr>
          <w:rFonts w:hint="eastAsia" w:ascii="宋体" w:hAnsi="宋体" w:eastAsia="宋体"/>
          <w:color w:val="auto"/>
          <w:w w:val="99"/>
          <w:szCs w:val="21"/>
          <w:highlight w:val="none"/>
          <w:lang w:eastAsia="zh-CN"/>
        </w:rPr>
      </w:pPr>
      <w:r>
        <w:rPr>
          <w:rFonts w:hint="eastAsia" w:ascii="宋体" w:hAnsi="宋体" w:cs="宋体"/>
          <w:color w:val="auto"/>
          <w:kern w:val="0"/>
          <w:szCs w:val="21"/>
          <w:highlight w:val="none"/>
        </w:rPr>
        <w:t>2.1.</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 xml:space="preserve"> </w:t>
      </w:r>
      <w:r>
        <w:rPr>
          <w:rFonts w:hint="eastAsia" w:ascii="宋体" w:hAnsi="宋体"/>
          <w:color w:val="auto"/>
          <w:w w:val="99"/>
          <w:szCs w:val="21"/>
          <w:highlight w:val="none"/>
          <w:lang w:eastAsia="zh-CN"/>
        </w:rPr>
        <w:t>改性沥青及沥青混凝土</w:t>
      </w:r>
    </w:p>
    <w:p w14:paraId="4C37FD29">
      <w:pPr>
        <w:widowControl/>
        <w:spacing w:line="500" w:lineRule="exact"/>
        <w:ind w:firstLine="315" w:firstLineChars="1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olor w:val="auto"/>
          <w:w w:val="99"/>
          <w:szCs w:val="21"/>
          <w:highlight w:val="none"/>
          <w:lang w:val="en-US" w:eastAsia="zh-CN"/>
        </w:rPr>
        <w:t>40mm细粒式改性沥青混凝土、50mm中粒式沥青混凝土</w:t>
      </w:r>
      <w:r>
        <w:rPr>
          <w:rFonts w:hint="eastAsia" w:ascii="宋体" w:hAnsi="宋体" w:cs="宋体"/>
          <w:color w:val="auto"/>
          <w:kern w:val="0"/>
          <w:szCs w:val="21"/>
          <w:highlight w:val="none"/>
        </w:rPr>
        <w:t>的标准：</w:t>
      </w:r>
      <w:r>
        <w:rPr>
          <w:rFonts w:hint="eastAsia" w:ascii="宋体" w:hAnsi="宋体" w:eastAsia="宋体" w:cs="宋体"/>
          <w:color w:val="auto"/>
          <w:kern w:val="0"/>
          <w:szCs w:val="21"/>
          <w:highlight w:val="none"/>
        </w:rPr>
        <w:t>《公路工程高性能沥青混合料施工技术规范》</w:t>
      </w:r>
      <w:r>
        <w:rPr>
          <w:rFonts w:hint="eastAsia" w:ascii="宋体" w:hAnsi="宋体" w:cs="宋体"/>
          <w:color w:val="auto"/>
          <w:kern w:val="0"/>
          <w:szCs w:val="21"/>
          <w:highlight w:val="none"/>
        </w:rPr>
        <w:t>、</w:t>
      </w:r>
      <w:r>
        <w:rPr>
          <w:rFonts w:hint="eastAsia" w:ascii="宋体" w:hAnsi="宋体" w:eastAsia="宋体" w:cs="宋体"/>
          <w:color w:val="auto"/>
          <w:kern w:val="0"/>
          <w:szCs w:val="21"/>
          <w:highlight w:val="none"/>
        </w:rPr>
        <w:t>《公路工程沥青及沥青混合料试验规程》（</w:t>
      </w:r>
      <w:r>
        <w:rPr>
          <w:rFonts w:hint="default" w:ascii="宋体" w:hAnsi="宋体" w:eastAsia="宋体" w:cs="宋体"/>
          <w:color w:val="auto"/>
          <w:kern w:val="0"/>
          <w:szCs w:val="21"/>
          <w:highlight w:val="none"/>
        </w:rPr>
        <w:t>JTG 3410-2025）</w:t>
      </w:r>
      <w:bookmarkStart w:id="7" w:name="OLE_LINK60"/>
      <w:r>
        <w:rPr>
          <w:rFonts w:hint="eastAsia" w:ascii="宋体" w:hAnsi="宋体" w:cs="宋体"/>
          <w:color w:val="auto"/>
          <w:kern w:val="0"/>
          <w:szCs w:val="21"/>
          <w:highlight w:val="none"/>
        </w:rPr>
        <w:t>,</w:t>
      </w:r>
      <w:bookmarkEnd w:id="7"/>
      <w:r>
        <w:rPr>
          <w:rFonts w:hint="eastAsia" w:ascii="宋体" w:hAnsi="宋体" w:cs="宋体"/>
          <w:color w:val="auto"/>
          <w:kern w:val="0"/>
          <w:szCs w:val="21"/>
          <w:highlight w:val="none"/>
        </w:rPr>
        <w:t>项目业主招标文件要求和有关文件要求等。</w:t>
      </w:r>
    </w:p>
    <w:p w14:paraId="67B37F1B">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第三条、交货方式</w:t>
      </w:r>
    </w:p>
    <w:p w14:paraId="218F8190">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3.1 甲乙双方协商同意，乙方负责组织购料、运输、装卸，将供应的材料卸至甲方指定的施工地点。</w:t>
      </w:r>
    </w:p>
    <w:p w14:paraId="79ECF33B">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3.2 乙方应在材料到料前2小时通知甲方，由甲方指定的验收人员在指定的时间、地点进行初验。</w:t>
      </w:r>
    </w:p>
    <w:p w14:paraId="2789A65C">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3.3 乙方必须以甲方提供的材料计划数量组织好分期分批供应材料，每批具体交货数量和时间以甲方的通知为准。</w:t>
      </w:r>
    </w:p>
    <w:p w14:paraId="01033A9F">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第四条、交货期限及要求</w:t>
      </w:r>
    </w:p>
    <w:p w14:paraId="134CFD7E">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4.1 交货期限：乙方供货之日起至工程完工时终止。具体根据项目业主调整的执行时间段为准。</w:t>
      </w:r>
    </w:p>
    <w:p w14:paraId="6AB6CF07">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4.2 乙方确保本工程施工期间，保质保量供应甲方施工用材料。</w:t>
      </w:r>
    </w:p>
    <w:p w14:paraId="2BD60C7E">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4.3 乙方材料的供应量必须满足甲方施工进度的要求，具体用量以甲方材料部门计划为准。</w:t>
      </w:r>
    </w:p>
    <w:p w14:paraId="14A9A74E">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4.4 为保证工程施工不间断进行，乙方须有存储料场，用以备料，并保证足够的储备量，以确保甲方施工用料的供应。特殊期间（如节假日等），甲方有权要求乙方加大储备量。</w:t>
      </w:r>
    </w:p>
    <w:p w14:paraId="449036E8">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4.5 甲方根据工程进度计划及现场材料剩余情况，提前</w:t>
      </w:r>
      <w:bookmarkStart w:id="8" w:name="OLE_LINK57"/>
      <w:r>
        <w:rPr>
          <w:rFonts w:hint="eastAsia" w:ascii="宋体" w:hAnsi="宋体" w:cs="宋体"/>
          <w:color w:val="auto"/>
          <w:kern w:val="0"/>
          <w:szCs w:val="21"/>
          <w:highlight w:val="none"/>
        </w:rPr>
        <w:t>8</w:t>
      </w:r>
      <w:bookmarkEnd w:id="8"/>
      <w:r>
        <w:rPr>
          <w:rFonts w:hint="eastAsia" w:ascii="宋体" w:hAnsi="宋体" w:cs="宋体"/>
          <w:color w:val="auto"/>
          <w:kern w:val="0"/>
          <w:szCs w:val="21"/>
          <w:highlight w:val="none"/>
        </w:rPr>
        <w:t>小时通知乙方供料的数量，乙方应保证8小时内将材料卸至甲方指定的地点。</w:t>
      </w:r>
    </w:p>
    <w:p w14:paraId="5AE7380E">
      <w:pPr>
        <w:widowControl/>
        <w:spacing w:line="500" w:lineRule="exact"/>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第五条、材料产品及价款、规格</w:t>
      </w:r>
    </w:p>
    <w:tbl>
      <w:tblPr>
        <w:tblStyle w:val="15"/>
        <w:tblW w:w="9675"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1575"/>
        <w:gridCol w:w="975"/>
        <w:gridCol w:w="1260"/>
        <w:gridCol w:w="1739"/>
        <w:gridCol w:w="1695"/>
        <w:gridCol w:w="1547"/>
      </w:tblGrid>
      <w:tr w14:paraId="381A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84" w:type="dxa"/>
            <w:shd w:val="clear" w:color="auto" w:fill="auto"/>
            <w:noWrap w:val="0"/>
            <w:vAlign w:val="center"/>
          </w:tcPr>
          <w:p w14:paraId="20DF4EF7">
            <w:pPr>
              <w:widowControl/>
              <w:spacing w:line="5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575" w:type="dxa"/>
            <w:shd w:val="clear" w:color="auto" w:fill="auto"/>
            <w:noWrap w:val="0"/>
            <w:vAlign w:val="center"/>
          </w:tcPr>
          <w:p w14:paraId="7654708B">
            <w:pPr>
              <w:widowControl/>
              <w:spacing w:line="5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材料名称</w:t>
            </w:r>
          </w:p>
        </w:tc>
        <w:tc>
          <w:tcPr>
            <w:tcW w:w="975" w:type="dxa"/>
            <w:shd w:val="clear" w:color="auto" w:fill="auto"/>
            <w:noWrap w:val="0"/>
            <w:vAlign w:val="center"/>
          </w:tcPr>
          <w:p w14:paraId="08662CF1">
            <w:pPr>
              <w:widowControl/>
              <w:spacing w:line="5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规格</w:t>
            </w:r>
          </w:p>
        </w:tc>
        <w:tc>
          <w:tcPr>
            <w:tcW w:w="1260" w:type="dxa"/>
            <w:shd w:val="clear" w:color="auto" w:fill="auto"/>
            <w:noWrap w:val="0"/>
            <w:vAlign w:val="center"/>
          </w:tcPr>
          <w:p w14:paraId="2600F297">
            <w:pPr>
              <w:widowControl/>
              <w:spacing w:line="5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单位</w:t>
            </w:r>
          </w:p>
        </w:tc>
        <w:tc>
          <w:tcPr>
            <w:tcW w:w="1739" w:type="dxa"/>
            <w:shd w:val="clear" w:color="auto" w:fill="auto"/>
            <w:noWrap w:val="0"/>
            <w:vAlign w:val="center"/>
          </w:tcPr>
          <w:p w14:paraId="3A378221">
            <w:pPr>
              <w:widowControl/>
              <w:spacing w:line="5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预估数量（</w:t>
            </w:r>
            <w:r>
              <w:rPr>
                <w:rFonts w:hint="eastAsia" w:ascii="宋体" w:hAnsi="宋体" w:eastAsia="宋体" w:cs="宋体"/>
                <w:color w:val="auto"/>
                <w:kern w:val="0"/>
                <w:sz w:val="21"/>
                <w:szCs w:val="21"/>
                <w:highlight w:val="none"/>
                <w:lang w:val="en-US" w:eastAsia="zh-CN" w:bidi="ar-SA"/>
              </w:rPr>
              <w:t>㎡）</w:t>
            </w:r>
          </w:p>
        </w:tc>
        <w:tc>
          <w:tcPr>
            <w:tcW w:w="1695" w:type="dxa"/>
            <w:shd w:val="clear" w:color="auto" w:fill="auto"/>
            <w:noWrap w:val="0"/>
            <w:vAlign w:val="center"/>
          </w:tcPr>
          <w:p w14:paraId="764357C7">
            <w:pPr>
              <w:widowControl/>
              <w:spacing w:line="5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单价（元/</w:t>
            </w:r>
            <w:r>
              <w:rPr>
                <w:rFonts w:hint="eastAsia" w:ascii="宋体" w:hAnsi="宋体" w:eastAsia="宋体" w:cs="宋体"/>
                <w:color w:val="auto"/>
                <w:kern w:val="0"/>
                <w:sz w:val="21"/>
                <w:szCs w:val="21"/>
                <w:highlight w:val="none"/>
                <w:lang w:val="en-US" w:eastAsia="zh-CN" w:bidi="ar-SA"/>
              </w:rPr>
              <w:t>㎡</w:t>
            </w:r>
            <w:r>
              <w:rPr>
                <w:rFonts w:hint="eastAsia" w:ascii="宋体" w:hAnsi="宋体" w:cs="宋体"/>
                <w:color w:val="auto"/>
                <w:kern w:val="0"/>
                <w:szCs w:val="21"/>
                <w:highlight w:val="none"/>
              </w:rPr>
              <w:t>）</w:t>
            </w:r>
          </w:p>
        </w:tc>
        <w:tc>
          <w:tcPr>
            <w:tcW w:w="1547" w:type="dxa"/>
            <w:shd w:val="clear" w:color="auto" w:fill="auto"/>
            <w:noWrap w:val="0"/>
            <w:vAlign w:val="center"/>
          </w:tcPr>
          <w:p w14:paraId="629651C2">
            <w:pPr>
              <w:widowControl/>
              <w:spacing w:line="5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合价（元）</w:t>
            </w:r>
          </w:p>
        </w:tc>
      </w:tr>
      <w:tr w14:paraId="4745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84" w:type="dxa"/>
            <w:shd w:val="clear" w:color="auto" w:fill="auto"/>
            <w:noWrap w:val="0"/>
            <w:vAlign w:val="center"/>
          </w:tcPr>
          <w:p w14:paraId="42685BBC">
            <w:pPr>
              <w:widowControl/>
              <w:spacing w:line="500" w:lineRule="exac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1</w:t>
            </w:r>
          </w:p>
        </w:tc>
        <w:tc>
          <w:tcPr>
            <w:tcW w:w="1575" w:type="dxa"/>
            <w:shd w:val="clear" w:color="auto" w:fill="auto"/>
            <w:noWrap w:val="0"/>
            <w:vAlign w:val="center"/>
          </w:tcPr>
          <w:p w14:paraId="561F9F69">
            <w:pPr>
              <w:keepNext w:val="0"/>
              <w:keepLines w:val="0"/>
              <w:widowControl/>
              <w:suppressLineNumbers w:val="0"/>
              <w:jc w:val="center"/>
              <w:textAlignment w:val="center"/>
              <w:rPr>
                <w:rFonts w:hint="eastAsia" w:ascii="宋体" w:hAnsi="宋体" w:cs="宋体"/>
                <w:color w:val="auto"/>
                <w:kern w:val="0"/>
                <w:szCs w:val="21"/>
                <w:highlight w:val="none"/>
              </w:rPr>
            </w:pPr>
            <w:r>
              <w:rPr>
                <w:rFonts w:hint="eastAsia" w:ascii="宋体" w:hAnsi="宋体" w:eastAsia="宋体" w:cs="宋体"/>
                <w:i w:val="0"/>
                <w:iCs w:val="0"/>
                <w:color w:val="auto"/>
                <w:kern w:val="0"/>
                <w:sz w:val="22"/>
                <w:szCs w:val="22"/>
                <w:highlight w:val="none"/>
                <w:u w:val="none"/>
                <w:lang w:val="en-US" w:eastAsia="zh-CN" w:bidi="ar"/>
              </w:rPr>
              <w:t>40mm细粒式</w:t>
            </w:r>
            <w:r>
              <w:rPr>
                <w:rFonts w:hint="eastAsia" w:ascii="宋体" w:hAnsi="宋体" w:cs="宋体"/>
                <w:i w:val="0"/>
                <w:iCs w:val="0"/>
                <w:color w:val="auto"/>
                <w:kern w:val="0"/>
                <w:sz w:val="22"/>
                <w:szCs w:val="22"/>
                <w:highlight w:val="none"/>
                <w:u w:val="none"/>
                <w:lang w:val="en-US" w:eastAsia="zh-CN" w:bidi="ar"/>
              </w:rPr>
              <w:t>改性沥青混凝土</w:t>
            </w:r>
          </w:p>
        </w:tc>
        <w:tc>
          <w:tcPr>
            <w:tcW w:w="975" w:type="dxa"/>
            <w:shd w:val="clear" w:color="auto" w:fill="auto"/>
            <w:noWrap w:val="0"/>
            <w:vAlign w:val="center"/>
          </w:tcPr>
          <w:p w14:paraId="51BACF3D">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AC-13C</w:t>
            </w:r>
          </w:p>
        </w:tc>
        <w:tc>
          <w:tcPr>
            <w:tcW w:w="1260" w:type="dxa"/>
            <w:shd w:val="clear" w:color="auto" w:fill="auto"/>
            <w:noWrap w:val="0"/>
            <w:vAlign w:val="center"/>
          </w:tcPr>
          <w:p w14:paraId="781DD1EA">
            <w:pPr>
              <w:keepNext w:val="0"/>
              <w:keepLines w:val="0"/>
              <w:widowControl/>
              <w:suppressLineNumbers w:val="0"/>
              <w:jc w:val="center"/>
              <w:textAlignment w:val="center"/>
              <w:rPr>
                <w:rFonts w:hint="eastAsia" w:ascii="宋体" w:hAnsi="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w:t>
            </w:r>
          </w:p>
        </w:tc>
        <w:tc>
          <w:tcPr>
            <w:tcW w:w="1739" w:type="dxa"/>
            <w:shd w:val="clear" w:color="auto" w:fill="auto"/>
            <w:noWrap w:val="0"/>
            <w:vAlign w:val="center"/>
          </w:tcPr>
          <w:p w14:paraId="262ACE8D">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2"/>
                <w:szCs w:val="22"/>
                <w:highlight w:val="none"/>
                <w:u w:val="none"/>
                <w:lang w:val="en-US" w:eastAsia="zh-CN" w:bidi="ar"/>
              </w:rPr>
              <w:t>60000</w:t>
            </w:r>
            <w:r>
              <w:rPr>
                <w:rFonts w:hint="eastAsia" w:ascii="宋体" w:hAnsi="宋体" w:eastAsia="宋体" w:cs="宋体"/>
                <w:i w:val="0"/>
                <w:iCs w:val="0"/>
                <w:color w:val="auto"/>
                <w:kern w:val="0"/>
                <w:sz w:val="22"/>
                <w:szCs w:val="22"/>
                <w:highlight w:val="none"/>
                <w:u w:val="none"/>
                <w:lang w:val="en-US" w:eastAsia="zh-CN" w:bidi="ar"/>
              </w:rPr>
              <w:t xml:space="preserve"> </w:t>
            </w:r>
          </w:p>
        </w:tc>
        <w:tc>
          <w:tcPr>
            <w:tcW w:w="1695" w:type="dxa"/>
            <w:shd w:val="clear" w:color="auto" w:fill="auto"/>
            <w:noWrap w:val="0"/>
            <w:vAlign w:val="center"/>
          </w:tcPr>
          <w:p w14:paraId="193CCD00">
            <w:pPr>
              <w:keepNext w:val="0"/>
              <w:keepLines w:val="0"/>
              <w:widowControl/>
              <w:suppressLineNumbers w:val="0"/>
              <w:jc w:val="center"/>
              <w:textAlignment w:val="center"/>
              <w:rPr>
                <w:rFonts w:ascii="宋体" w:hAnsi="宋体" w:cs="宋体"/>
                <w:color w:val="auto"/>
                <w:kern w:val="0"/>
                <w:szCs w:val="21"/>
                <w:highlight w:val="none"/>
              </w:rPr>
            </w:pPr>
          </w:p>
        </w:tc>
        <w:tc>
          <w:tcPr>
            <w:tcW w:w="1547" w:type="dxa"/>
            <w:shd w:val="clear" w:color="auto" w:fill="auto"/>
            <w:noWrap w:val="0"/>
            <w:vAlign w:val="center"/>
          </w:tcPr>
          <w:p w14:paraId="1A6CC899">
            <w:pPr>
              <w:keepNext w:val="0"/>
              <w:keepLines w:val="0"/>
              <w:widowControl/>
              <w:suppressLineNumbers w:val="0"/>
              <w:jc w:val="center"/>
              <w:textAlignment w:val="center"/>
              <w:rPr>
                <w:rFonts w:hint="eastAsia" w:ascii="宋体" w:hAnsi="宋体" w:cs="宋体"/>
                <w:color w:val="auto"/>
                <w:kern w:val="0"/>
                <w:szCs w:val="21"/>
                <w:highlight w:val="none"/>
              </w:rPr>
            </w:pPr>
          </w:p>
        </w:tc>
      </w:tr>
      <w:tr w14:paraId="7A18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84" w:type="dxa"/>
            <w:shd w:val="clear" w:color="auto" w:fill="auto"/>
            <w:noWrap w:val="0"/>
            <w:vAlign w:val="center"/>
          </w:tcPr>
          <w:p w14:paraId="4E382C98">
            <w:pPr>
              <w:widowControl/>
              <w:spacing w:line="500" w:lineRule="exac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2</w:t>
            </w:r>
          </w:p>
        </w:tc>
        <w:tc>
          <w:tcPr>
            <w:tcW w:w="1575" w:type="dxa"/>
            <w:shd w:val="clear" w:color="auto" w:fill="auto"/>
            <w:noWrap w:val="0"/>
            <w:vAlign w:val="center"/>
          </w:tcPr>
          <w:p w14:paraId="726F2622">
            <w:pPr>
              <w:keepNext w:val="0"/>
              <w:keepLines w:val="0"/>
              <w:widowControl/>
              <w:suppressLineNumbers w:val="0"/>
              <w:jc w:val="center"/>
              <w:textAlignment w:val="center"/>
              <w:rPr>
                <w:rFonts w:hint="eastAsia" w:ascii="宋体" w:hAnsi="宋体"/>
                <w:color w:val="auto"/>
                <w:w w:val="99"/>
                <w:szCs w:val="21"/>
                <w:highlight w:val="none"/>
                <w:u w:val="single"/>
              </w:rPr>
            </w:pPr>
            <w:r>
              <w:rPr>
                <w:rFonts w:hint="eastAsia" w:ascii="宋体" w:hAnsi="宋体" w:eastAsia="宋体" w:cs="宋体"/>
                <w:i w:val="0"/>
                <w:iCs w:val="0"/>
                <w:color w:val="auto"/>
                <w:kern w:val="0"/>
                <w:sz w:val="22"/>
                <w:szCs w:val="22"/>
                <w:highlight w:val="none"/>
                <w:u w:val="none"/>
                <w:lang w:val="en-US" w:eastAsia="zh-CN" w:bidi="ar"/>
              </w:rPr>
              <w:t>50mm中粒式</w:t>
            </w:r>
            <w:r>
              <w:rPr>
                <w:rFonts w:hint="eastAsia" w:ascii="宋体" w:hAnsi="宋体" w:cs="宋体"/>
                <w:i w:val="0"/>
                <w:iCs w:val="0"/>
                <w:color w:val="auto"/>
                <w:kern w:val="0"/>
                <w:sz w:val="22"/>
                <w:szCs w:val="22"/>
                <w:highlight w:val="none"/>
                <w:u w:val="none"/>
                <w:lang w:val="en-US" w:eastAsia="zh-CN" w:bidi="ar"/>
              </w:rPr>
              <w:t>沥青混凝土</w:t>
            </w:r>
          </w:p>
        </w:tc>
        <w:tc>
          <w:tcPr>
            <w:tcW w:w="975" w:type="dxa"/>
            <w:shd w:val="clear" w:color="auto" w:fill="auto"/>
            <w:noWrap w:val="0"/>
            <w:vAlign w:val="center"/>
          </w:tcPr>
          <w:p w14:paraId="0EDD8A6B">
            <w:pPr>
              <w:keepNext w:val="0"/>
              <w:keepLines w:val="0"/>
              <w:widowControl/>
              <w:suppressLineNumbers w:val="0"/>
              <w:jc w:val="center"/>
              <w:textAlignment w:val="center"/>
              <w:rPr>
                <w:rFonts w:ascii="宋体" w:hAnsi="宋体" w:cs="宋体"/>
                <w:color w:val="auto"/>
                <w:kern w:val="0"/>
                <w:szCs w:val="21"/>
                <w:highlight w:val="none"/>
              </w:rPr>
            </w:pPr>
            <w:r>
              <w:rPr>
                <w:rFonts w:hint="eastAsia" w:ascii="仿宋" w:hAnsi="仿宋" w:eastAsia="仿宋" w:cs="仿宋"/>
                <w:i w:val="0"/>
                <w:iCs w:val="0"/>
                <w:color w:val="auto"/>
                <w:kern w:val="0"/>
                <w:sz w:val="24"/>
                <w:szCs w:val="24"/>
                <w:highlight w:val="none"/>
                <w:u w:val="none"/>
                <w:lang w:val="en-US" w:eastAsia="zh-CN"/>
              </w:rPr>
              <w:t>AC-20C</w:t>
            </w:r>
          </w:p>
        </w:tc>
        <w:tc>
          <w:tcPr>
            <w:tcW w:w="1260" w:type="dxa"/>
            <w:shd w:val="clear" w:color="auto" w:fill="auto"/>
            <w:noWrap w:val="0"/>
            <w:vAlign w:val="center"/>
          </w:tcPr>
          <w:p w14:paraId="3C13061B">
            <w:pPr>
              <w:keepNext w:val="0"/>
              <w:keepLines w:val="0"/>
              <w:widowControl/>
              <w:suppressLineNumbers w:val="0"/>
              <w:jc w:val="center"/>
              <w:textAlignment w:val="center"/>
              <w:rPr>
                <w:rFonts w:hint="eastAsia" w:ascii="宋体" w:hAnsi="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w:t>
            </w:r>
          </w:p>
        </w:tc>
        <w:tc>
          <w:tcPr>
            <w:tcW w:w="1739" w:type="dxa"/>
            <w:shd w:val="clear" w:color="auto" w:fill="auto"/>
            <w:noWrap w:val="0"/>
            <w:vAlign w:val="center"/>
          </w:tcPr>
          <w:p w14:paraId="627DE968">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cs="宋体"/>
                <w:i w:val="0"/>
                <w:iCs w:val="0"/>
                <w:color w:val="auto"/>
                <w:kern w:val="0"/>
                <w:sz w:val="22"/>
                <w:szCs w:val="22"/>
                <w:highlight w:val="none"/>
                <w:u w:val="none"/>
                <w:lang w:val="en-US" w:eastAsia="zh-CN" w:bidi="ar"/>
              </w:rPr>
              <w:t>60000</w:t>
            </w:r>
            <w:r>
              <w:rPr>
                <w:rFonts w:hint="eastAsia" w:ascii="宋体" w:hAnsi="宋体" w:eastAsia="宋体" w:cs="宋体"/>
                <w:i w:val="0"/>
                <w:iCs w:val="0"/>
                <w:color w:val="auto"/>
                <w:kern w:val="0"/>
                <w:sz w:val="22"/>
                <w:szCs w:val="22"/>
                <w:highlight w:val="none"/>
                <w:u w:val="none"/>
                <w:lang w:val="en-US" w:eastAsia="zh-CN" w:bidi="ar"/>
              </w:rPr>
              <w:t xml:space="preserve"> </w:t>
            </w:r>
          </w:p>
        </w:tc>
        <w:tc>
          <w:tcPr>
            <w:tcW w:w="1695" w:type="dxa"/>
            <w:shd w:val="clear" w:color="auto" w:fill="auto"/>
            <w:noWrap w:val="0"/>
            <w:vAlign w:val="center"/>
          </w:tcPr>
          <w:p w14:paraId="783F9AD2">
            <w:pPr>
              <w:keepNext w:val="0"/>
              <w:keepLines w:val="0"/>
              <w:widowControl/>
              <w:suppressLineNumbers w:val="0"/>
              <w:jc w:val="center"/>
              <w:textAlignment w:val="center"/>
              <w:rPr>
                <w:rFonts w:ascii="宋体" w:hAnsi="宋体" w:cs="宋体"/>
                <w:color w:val="auto"/>
                <w:kern w:val="0"/>
                <w:szCs w:val="21"/>
                <w:highlight w:val="none"/>
              </w:rPr>
            </w:pPr>
          </w:p>
        </w:tc>
        <w:tc>
          <w:tcPr>
            <w:tcW w:w="1547" w:type="dxa"/>
            <w:shd w:val="clear" w:color="auto" w:fill="auto"/>
            <w:noWrap w:val="0"/>
            <w:vAlign w:val="center"/>
          </w:tcPr>
          <w:p w14:paraId="6771E423">
            <w:pPr>
              <w:keepNext w:val="0"/>
              <w:keepLines w:val="0"/>
              <w:widowControl/>
              <w:suppressLineNumbers w:val="0"/>
              <w:jc w:val="center"/>
              <w:textAlignment w:val="center"/>
              <w:rPr>
                <w:rFonts w:hint="eastAsia" w:ascii="宋体" w:hAnsi="宋体" w:cs="宋体"/>
                <w:color w:val="auto"/>
                <w:kern w:val="0"/>
                <w:szCs w:val="21"/>
                <w:highlight w:val="none"/>
              </w:rPr>
            </w:pPr>
          </w:p>
        </w:tc>
      </w:tr>
      <w:tr w14:paraId="21FD9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675" w:type="dxa"/>
            <w:gridSpan w:val="7"/>
            <w:shd w:val="clear" w:color="auto" w:fill="auto"/>
            <w:noWrap w:val="0"/>
            <w:vAlign w:val="center"/>
          </w:tcPr>
          <w:p w14:paraId="15149DD8">
            <w:pPr>
              <w:widowControl/>
              <w:spacing w:line="5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合计：               元整</w:t>
            </w:r>
          </w:p>
        </w:tc>
      </w:tr>
      <w:tr w14:paraId="76C5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9" w:hRule="atLeast"/>
        </w:trPr>
        <w:tc>
          <w:tcPr>
            <w:tcW w:w="9675" w:type="dxa"/>
            <w:gridSpan w:val="7"/>
            <w:shd w:val="clear" w:color="auto" w:fill="auto"/>
            <w:noWrap w:val="0"/>
            <w:vAlign w:val="top"/>
          </w:tcPr>
          <w:p w14:paraId="2AFE654D">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说明：</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材料单价包含了材料在运至甲方工地过程中发生的一切费用（包含</w:t>
            </w:r>
            <w:r>
              <w:rPr>
                <w:rFonts w:hint="eastAsia" w:ascii="宋体" w:hAnsi="宋体" w:cs="宋体"/>
                <w:color w:val="auto"/>
                <w:kern w:val="0"/>
                <w:szCs w:val="21"/>
                <w:highlight w:val="none"/>
                <w:lang w:eastAsia="zh-CN"/>
              </w:rPr>
              <w:t>3%</w:t>
            </w:r>
            <w:r>
              <w:rPr>
                <w:rFonts w:hint="eastAsia" w:ascii="宋体" w:hAnsi="宋体" w:cs="宋体"/>
                <w:bCs/>
                <w:color w:val="auto"/>
                <w:kern w:val="0"/>
                <w:szCs w:val="21"/>
                <w:highlight w:val="none"/>
              </w:rPr>
              <w:t>的增值税专用发票、</w:t>
            </w:r>
            <w:r>
              <w:rPr>
                <w:rFonts w:hint="eastAsia" w:ascii="宋体" w:hAnsi="宋体" w:cs="宋体"/>
                <w:color w:val="auto"/>
                <w:kern w:val="0"/>
                <w:szCs w:val="21"/>
                <w:highlight w:val="none"/>
              </w:rPr>
              <w:t>采购</w:t>
            </w:r>
            <w:r>
              <w:rPr>
                <w:rFonts w:hint="eastAsia" w:ascii="宋体" w:hAnsi="宋体" w:cs="宋体"/>
                <w:color w:val="auto"/>
                <w:kern w:val="0"/>
                <w:szCs w:val="21"/>
                <w:highlight w:val="none"/>
                <w:lang w:val="en-US" w:eastAsia="zh-CN"/>
              </w:rPr>
              <w:t>材料</w:t>
            </w:r>
            <w:r>
              <w:rPr>
                <w:rFonts w:hint="eastAsia" w:ascii="宋体" w:hAnsi="宋体" w:cs="宋体"/>
                <w:color w:val="auto"/>
                <w:kern w:val="0"/>
                <w:szCs w:val="21"/>
                <w:highlight w:val="none"/>
              </w:rPr>
              <w:t>、生产拌合、损耗、保险、规费、税金、风险等）。</w:t>
            </w:r>
          </w:p>
          <w:p w14:paraId="70CEDAB8">
            <w:pPr>
              <w:widowControl/>
              <w:numPr>
                <w:ilvl w:val="0"/>
                <w:numId w:val="1"/>
              </w:numPr>
              <w:spacing w:line="500" w:lineRule="exact"/>
              <w:ind w:left="105" w:leftChars="0"/>
              <w:jc w:val="left"/>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此表中各项单价除沥青混凝土外执行过程中不作调整。 沥青混凝土价格调整原则:按微信公众号沥青报价2026年8月12日湖南衡阳市常宁沥青到站价:70号A级沥青4450元/吨，改性沥青4890元/吨为基准价，沥青价格涨跌幅度在</w:t>
            </w:r>
            <w:r>
              <w:rPr>
                <w:rFonts w:hint="eastAsia"/>
                <w:color w:val="auto"/>
                <w:spacing w:val="9"/>
                <w:highlight w:val="none"/>
              </w:rPr>
              <w:t>±</w:t>
            </w:r>
            <w:r>
              <w:rPr>
                <w:rFonts w:hint="eastAsia" w:ascii="宋体" w:hAnsi="宋体" w:cs="宋体"/>
                <w:color w:val="auto"/>
                <w:kern w:val="0"/>
                <w:szCs w:val="21"/>
                <w:highlight w:val="none"/>
                <w:lang w:val="en-US" w:eastAsia="zh-CN"/>
              </w:rPr>
              <w:t>8%以内(含8%)的不予调整，沥青价格涨跌幅度超出</w:t>
            </w:r>
            <w:r>
              <w:rPr>
                <w:rFonts w:hint="eastAsia"/>
                <w:color w:val="auto"/>
                <w:spacing w:val="9"/>
                <w:highlight w:val="none"/>
              </w:rPr>
              <w:t>±</w:t>
            </w:r>
            <w:r>
              <w:rPr>
                <w:rFonts w:hint="eastAsia" w:ascii="宋体" w:hAnsi="宋体" w:cs="宋体"/>
                <w:color w:val="auto"/>
                <w:kern w:val="0"/>
                <w:szCs w:val="21"/>
                <w:highlight w:val="none"/>
                <w:lang w:val="en-US" w:eastAsia="zh-CN"/>
              </w:rPr>
              <w:t>8%以外时才能进行调差，当沥青价格涨跌幅度超出</w:t>
            </w:r>
            <w:r>
              <w:rPr>
                <w:rFonts w:hint="eastAsia"/>
                <w:color w:val="auto"/>
                <w:spacing w:val="9"/>
                <w:highlight w:val="none"/>
              </w:rPr>
              <w:t>±</w:t>
            </w:r>
            <w:r>
              <w:rPr>
                <w:rFonts w:hint="eastAsia" w:ascii="宋体" w:hAnsi="宋体" w:cs="宋体"/>
                <w:color w:val="auto"/>
                <w:kern w:val="0"/>
                <w:szCs w:val="21"/>
                <w:highlight w:val="none"/>
                <w:lang w:val="en-US" w:eastAsia="zh-CN"/>
              </w:rPr>
              <w:t>8%以上时只对超过</w:t>
            </w:r>
            <w:r>
              <w:rPr>
                <w:rFonts w:hint="eastAsia"/>
                <w:color w:val="auto"/>
                <w:spacing w:val="9"/>
                <w:highlight w:val="none"/>
              </w:rPr>
              <w:t>±</w:t>
            </w:r>
            <w:r>
              <w:rPr>
                <w:rFonts w:hint="eastAsia" w:ascii="宋体" w:hAnsi="宋体" w:cs="宋体"/>
                <w:color w:val="auto"/>
                <w:kern w:val="0"/>
                <w:szCs w:val="21"/>
                <w:highlight w:val="none"/>
                <w:lang w:val="en-US" w:eastAsia="zh-CN"/>
              </w:rPr>
              <w:t>8%以外的部分予以调整。</w:t>
            </w:r>
          </w:p>
        </w:tc>
      </w:tr>
    </w:tbl>
    <w:p w14:paraId="24D5F03B">
      <w:pPr>
        <w:widowControl/>
        <w:spacing w:line="500" w:lineRule="exact"/>
        <w:jc w:val="left"/>
        <w:rPr>
          <w:rFonts w:hint="eastAsia" w:ascii="宋体" w:hAnsi="宋体" w:cs="宋体"/>
          <w:b/>
          <w:color w:val="auto"/>
          <w:kern w:val="0"/>
          <w:szCs w:val="21"/>
          <w:highlight w:val="none"/>
        </w:rPr>
      </w:pPr>
      <w:bookmarkStart w:id="9" w:name="OLE_LINK1"/>
      <w:r>
        <w:rPr>
          <w:rFonts w:hint="eastAsia" w:ascii="宋体" w:hAnsi="宋体" w:cs="宋体"/>
          <w:b/>
          <w:color w:val="auto"/>
          <w:kern w:val="0"/>
          <w:szCs w:val="21"/>
          <w:highlight w:val="none"/>
        </w:rPr>
        <w:t>第六条、验收方法</w:t>
      </w:r>
    </w:p>
    <w:p w14:paraId="5BB0CEB3">
      <w:pPr>
        <w:widowControl/>
        <w:spacing w:line="500" w:lineRule="exact"/>
        <w:ind w:left="420" w:left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6.1 甲乙双方应按合同第二条指定的规范标准及要求进行</w:t>
      </w:r>
      <w:bookmarkStart w:id="10" w:name="OLE_LINK63"/>
      <w:r>
        <w:rPr>
          <w:rFonts w:hint="eastAsia" w:ascii="宋体" w:hAnsi="宋体" w:cs="宋体"/>
          <w:color w:val="auto"/>
          <w:kern w:val="0"/>
          <w:szCs w:val="21"/>
          <w:highlight w:val="none"/>
        </w:rPr>
        <w:t>检验</w:t>
      </w:r>
      <w:bookmarkEnd w:id="10"/>
      <w:r>
        <w:rPr>
          <w:rFonts w:hint="eastAsia" w:ascii="宋体" w:hAnsi="宋体" w:cs="宋体"/>
          <w:color w:val="auto"/>
          <w:kern w:val="0"/>
          <w:szCs w:val="21"/>
          <w:highlight w:val="none"/>
        </w:rPr>
        <w:t>，</w:t>
      </w:r>
      <w:bookmarkStart w:id="11" w:name="OLE_LINK62"/>
      <w:r>
        <w:rPr>
          <w:rFonts w:hint="eastAsia" w:ascii="宋体" w:hAnsi="宋体" w:cs="宋体"/>
          <w:color w:val="auto"/>
          <w:kern w:val="0"/>
          <w:szCs w:val="21"/>
          <w:highlight w:val="none"/>
        </w:rPr>
        <w:t>检验</w:t>
      </w:r>
      <w:bookmarkEnd w:id="11"/>
      <w:r>
        <w:rPr>
          <w:rFonts w:hint="eastAsia" w:ascii="宋体" w:hAnsi="宋体" w:cs="宋体"/>
          <w:color w:val="auto"/>
          <w:kern w:val="0"/>
          <w:szCs w:val="21"/>
          <w:highlight w:val="none"/>
        </w:rPr>
        <w:t xml:space="preserve">合格后该批材料正式验收合格。 </w:t>
      </w:r>
    </w:p>
    <w:p w14:paraId="35E6E216">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6.2 材料的检验未达到本合同第二条质量要求的，该批材料由乙方负责调换，且退货及返工发生的一切费用由乙方负责，并按甲方要求的时间自行清退不合格材料。</w:t>
      </w:r>
    </w:p>
    <w:bookmarkEnd w:id="9"/>
    <w:p w14:paraId="36715B89">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第七条、材料的计量</w:t>
      </w:r>
    </w:p>
    <w:p w14:paraId="26A2E750">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7.1 材料的计量单位为</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，每月</w:t>
      </w:r>
      <w:r>
        <w:rPr>
          <w:rFonts w:hint="eastAsia" w:ascii="宋体" w:hAnsi="宋体" w:cs="宋体"/>
          <w:b/>
          <w:color w:val="auto"/>
          <w:kern w:val="0"/>
          <w:szCs w:val="21"/>
          <w:highlight w:val="none"/>
          <w:u w:val="single"/>
        </w:rPr>
        <w:t xml:space="preserve"> 20 </w:t>
      </w:r>
      <w:r>
        <w:rPr>
          <w:rFonts w:hint="eastAsia" w:ascii="宋体" w:hAnsi="宋体" w:cs="宋体"/>
          <w:color w:val="auto"/>
          <w:kern w:val="0"/>
          <w:szCs w:val="21"/>
          <w:highlight w:val="none"/>
        </w:rPr>
        <w:t>日核清当月数量。</w:t>
      </w:r>
    </w:p>
    <w:p w14:paraId="2EE562D5">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第八条、结算与支付</w:t>
      </w:r>
    </w:p>
    <w:p w14:paraId="6731F699">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8.1 材料月结算款额为材料的月计量数量乘材料单价之积。</w:t>
      </w:r>
    </w:p>
    <w:p w14:paraId="0CBACC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left="141" w:leftChars="67" w:firstLine="306" w:firstLineChars="146"/>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8.2</w:t>
      </w:r>
      <w:r>
        <w:rPr>
          <w:rFonts w:ascii="宋体" w:hAnsi="宋体" w:cs="宋体"/>
          <w:color w:val="auto"/>
          <w:kern w:val="0"/>
          <w:szCs w:val="21"/>
          <w:highlight w:val="none"/>
        </w:rPr>
        <w:t>乙方</w:t>
      </w:r>
      <w:r>
        <w:rPr>
          <w:rFonts w:hint="eastAsia" w:ascii="宋体" w:hAnsi="宋体" w:cs="宋体"/>
          <w:color w:val="auto"/>
          <w:kern w:val="0"/>
          <w:szCs w:val="21"/>
          <w:highlight w:val="none"/>
        </w:rPr>
        <w:t>每月</w:t>
      </w:r>
      <w:r>
        <w:rPr>
          <w:rFonts w:hint="eastAsia" w:ascii="宋体" w:hAnsi="宋体" w:cs="宋体"/>
          <w:b/>
          <w:color w:val="auto"/>
          <w:kern w:val="0"/>
          <w:szCs w:val="21"/>
          <w:highlight w:val="none"/>
          <w:u w:val="single"/>
        </w:rPr>
        <w:t>25</w:t>
      </w:r>
      <w:r>
        <w:rPr>
          <w:rFonts w:hint="eastAsia" w:ascii="宋体" w:hAnsi="宋体" w:cs="宋体"/>
          <w:color w:val="auto"/>
          <w:kern w:val="0"/>
          <w:szCs w:val="21"/>
          <w:highlight w:val="none"/>
        </w:rPr>
        <w:t>日前</w:t>
      </w:r>
      <w:r>
        <w:rPr>
          <w:rFonts w:ascii="宋体" w:hAnsi="宋体" w:cs="宋体"/>
          <w:color w:val="auto"/>
          <w:kern w:val="0"/>
          <w:szCs w:val="21"/>
          <w:highlight w:val="none"/>
        </w:rPr>
        <w:t>持甲方现场专人签认</w:t>
      </w:r>
      <w:r>
        <w:rPr>
          <w:rFonts w:hint="eastAsia" w:ascii="宋体" w:hAnsi="宋体" w:cs="宋体"/>
          <w:color w:val="auto"/>
          <w:kern w:val="0"/>
          <w:szCs w:val="21"/>
          <w:highlight w:val="none"/>
        </w:rPr>
        <w:t>当月</w:t>
      </w:r>
      <w:r>
        <w:rPr>
          <w:rFonts w:ascii="宋体" w:hAnsi="宋体" w:cs="宋体"/>
          <w:color w:val="auto"/>
          <w:kern w:val="0"/>
          <w:szCs w:val="21"/>
          <w:highlight w:val="none"/>
        </w:rPr>
        <w:t>收料单到甲方项目部核对数量，</w:t>
      </w:r>
      <w:r>
        <w:rPr>
          <w:rFonts w:hint="eastAsia" w:ascii="宋体" w:hAnsi="宋体" w:cs="宋体"/>
          <w:color w:val="auto"/>
          <w:kern w:val="0"/>
          <w:szCs w:val="21"/>
          <w:highlight w:val="none"/>
        </w:rPr>
        <w:t>增值税</w:t>
      </w:r>
      <w:r>
        <w:rPr>
          <w:rFonts w:ascii="宋体" w:hAnsi="宋体" w:cs="宋体"/>
          <w:color w:val="auto"/>
          <w:kern w:val="0"/>
          <w:szCs w:val="21"/>
          <w:highlight w:val="none"/>
        </w:rPr>
        <w:t>发票</w:t>
      </w:r>
      <w:r>
        <w:rPr>
          <w:rFonts w:hint="eastAsia" w:ascii="宋体" w:hAnsi="宋体" w:cs="宋体"/>
          <w:color w:val="auto"/>
          <w:kern w:val="0"/>
          <w:szCs w:val="21"/>
          <w:highlight w:val="none"/>
        </w:rPr>
        <w:t>等结算凭证应由项目部材料验收人员、材料核算人员、财务负责人、项目部总工程师及项目部负责人签字确认后按甲方财务制度付款。</w:t>
      </w:r>
      <w:r>
        <w:rPr>
          <w:rFonts w:ascii="宋体" w:hAnsi="宋体" w:cs="宋体"/>
          <w:color w:val="auto"/>
          <w:kern w:val="0"/>
          <w:szCs w:val="21"/>
          <w:highlight w:val="none"/>
        </w:rPr>
        <w:t>如乙方按期不办理对帐结算手续或乙方未提供</w:t>
      </w:r>
      <w:r>
        <w:rPr>
          <w:rFonts w:hint="eastAsia" w:ascii="宋体" w:hAnsi="宋体" w:cs="宋体"/>
          <w:color w:val="auto"/>
          <w:kern w:val="0"/>
          <w:szCs w:val="21"/>
          <w:highlight w:val="none"/>
        </w:rPr>
        <w:t>等额增值税</w:t>
      </w:r>
      <w:r>
        <w:rPr>
          <w:rFonts w:ascii="宋体" w:hAnsi="宋体" w:cs="宋体"/>
          <w:color w:val="auto"/>
          <w:kern w:val="0"/>
          <w:szCs w:val="21"/>
          <w:highlight w:val="none"/>
        </w:rPr>
        <w:t>发票</w:t>
      </w:r>
      <w:r>
        <w:rPr>
          <w:rFonts w:hint="eastAsia" w:ascii="宋体" w:hAnsi="宋体" w:cs="宋体"/>
          <w:color w:val="auto"/>
          <w:kern w:val="0"/>
          <w:szCs w:val="21"/>
          <w:highlight w:val="none"/>
        </w:rPr>
        <w:t>，</w:t>
      </w:r>
      <w:r>
        <w:rPr>
          <w:rFonts w:ascii="宋体" w:hAnsi="宋体" w:cs="宋体"/>
          <w:color w:val="auto"/>
          <w:kern w:val="0"/>
          <w:szCs w:val="21"/>
          <w:highlight w:val="none"/>
        </w:rPr>
        <w:t>甲方将不予办理付款事宜，因此而造成乙方损失由乙方自行承担。</w:t>
      </w:r>
      <w:r>
        <w:rPr>
          <w:rFonts w:hint="eastAsia" w:ascii="宋体" w:hAnsi="宋体" w:cs="宋体"/>
          <w:color w:val="auto"/>
          <w:kern w:val="0"/>
          <w:szCs w:val="21"/>
          <w:highlight w:val="none"/>
        </w:rPr>
        <w:t>乙方必须提供真实、整洁的增值税发票，若提供虚假的增值税发票和发生与增值税发票相关的违法行为，一切法律后果由乙方承担。甲方保留进一步追责的权利。</w:t>
      </w:r>
    </w:p>
    <w:p w14:paraId="4E944A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left="141" w:leftChars="67" w:firstLine="306" w:firstLineChars="146"/>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8.3 </w:t>
      </w:r>
      <w:bookmarkStart w:id="12" w:name="_Hlk203562556"/>
      <w:bookmarkStart w:id="13" w:name="OLE_LINK70"/>
      <w:r>
        <w:rPr>
          <w:rFonts w:hint="eastAsia" w:ascii="宋体" w:hAnsi="宋体" w:cs="宋体"/>
          <w:color w:val="auto"/>
          <w:kern w:val="0"/>
          <w:szCs w:val="21"/>
          <w:highlight w:val="none"/>
        </w:rPr>
        <w:t>月实际支付额为本合同供应材料经甲方计量</w:t>
      </w:r>
      <w:bookmarkStart w:id="14" w:name="OLE_LINK66"/>
      <w:r>
        <w:rPr>
          <w:rFonts w:hint="eastAsia" w:ascii="宋体" w:hAnsi="宋体" w:cs="宋体"/>
          <w:color w:val="auto"/>
          <w:kern w:val="0"/>
          <w:szCs w:val="21"/>
          <w:highlight w:val="none"/>
        </w:rPr>
        <w:t>并</w:t>
      </w:r>
      <w:r>
        <w:rPr>
          <w:rFonts w:hint="eastAsia" w:ascii="宋体" w:hAnsi="宋体"/>
          <w:color w:val="auto"/>
          <w:szCs w:val="21"/>
          <w:highlight w:val="none"/>
        </w:rPr>
        <w:t>在甲方计量款到甲方账户后，</w:t>
      </w:r>
      <w:bookmarkStart w:id="15" w:name="_Hlk204007860"/>
      <w:r>
        <w:rPr>
          <w:rFonts w:hint="eastAsia" w:ascii="宋体" w:hAnsi="宋体"/>
          <w:color w:val="auto"/>
          <w:szCs w:val="21"/>
          <w:highlight w:val="none"/>
        </w:rPr>
        <w:t>甲方扣除各种罚款、</w:t>
      </w:r>
      <w:r>
        <w:rPr>
          <w:rFonts w:hint="eastAsia" w:ascii="宋体" w:hAnsi="宋体" w:cs="宋体"/>
          <w:color w:val="auto"/>
          <w:kern w:val="0"/>
          <w:szCs w:val="21"/>
          <w:highlight w:val="none"/>
        </w:rPr>
        <w:t>违约金、</w:t>
      </w:r>
      <w:r>
        <w:rPr>
          <w:rFonts w:hint="eastAsia" w:ascii="宋体" w:hAnsi="宋体"/>
          <w:color w:val="auto"/>
          <w:szCs w:val="21"/>
          <w:highlight w:val="none"/>
        </w:rPr>
        <w:t xml:space="preserve">代扣代缴等各项款项后支付已供合格数量货款的  </w:t>
      </w:r>
      <w:r>
        <w:rPr>
          <w:rFonts w:hint="eastAsia" w:ascii="宋体" w:hAnsi="宋体"/>
          <w:color w:val="auto"/>
          <w:szCs w:val="21"/>
          <w:highlight w:val="none"/>
          <w:u w:val="single"/>
        </w:rPr>
        <w:t xml:space="preserve"> 70 </w:t>
      </w:r>
      <w:r>
        <w:rPr>
          <w:rFonts w:hint="eastAsia" w:ascii="宋体" w:hAnsi="宋体"/>
          <w:color w:val="auto"/>
          <w:szCs w:val="21"/>
          <w:highlight w:val="none"/>
        </w:rPr>
        <w:t xml:space="preserve">  %</w:t>
      </w:r>
      <w:bookmarkEnd w:id="15"/>
      <w:r>
        <w:rPr>
          <w:rFonts w:hint="eastAsia" w:ascii="宋体" w:hAnsi="宋体"/>
          <w:color w:val="auto"/>
          <w:szCs w:val="21"/>
          <w:highlight w:val="none"/>
        </w:rPr>
        <w:t>。本项目完成交工验收合格并收到建设单位相应工程款后，甲方扣除各种罚款、</w:t>
      </w:r>
      <w:r>
        <w:rPr>
          <w:rFonts w:hint="eastAsia" w:ascii="宋体" w:hAnsi="宋体" w:cs="宋体"/>
          <w:color w:val="auto"/>
          <w:kern w:val="0"/>
          <w:szCs w:val="21"/>
          <w:highlight w:val="none"/>
        </w:rPr>
        <w:t>违约金、</w:t>
      </w:r>
      <w:r>
        <w:rPr>
          <w:rFonts w:hint="eastAsia" w:ascii="宋体" w:hAnsi="宋体"/>
          <w:color w:val="auto"/>
          <w:szCs w:val="21"/>
          <w:highlight w:val="none"/>
        </w:rPr>
        <w:t xml:space="preserve">代扣代缴等各项款项后支付已供合格数量货款的  </w:t>
      </w:r>
      <w:r>
        <w:rPr>
          <w:rFonts w:hint="eastAsia" w:ascii="宋体" w:hAnsi="宋体"/>
          <w:color w:val="auto"/>
          <w:szCs w:val="21"/>
          <w:highlight w:val="none"/>
          <w:u w:val="single"/>
        </w:rPr>
        <w:t xml:space="preserve"> 80 </w:t>
      </w:r>
      <w:r>
        <w:rPr>
          <w:rFonts w:hint="eastAsia" w:ascii="宋体" w:hAnsi="宋体"/>
          <w:color w:val="auto"/>
          <w:szCs w:val="21"/>
          <w:highlight w:val="none"/>
        </w:rPr>
        <w:t xml:space="preserve">  %。本项目完成最终结算经县财政、审计审定后、竣工验收合格、并收到建设单位相应工程款后，甲方扣除各种罚款、</w:t>
      </w:r>
      <w:r>
        <w:rPr>
          <w:rFonts w:hint="eastAsia" w:ascii="宋体" w:hAnsi="宋体" w:cs="宋体"/>
          <w:color w:val="auto"/>
          <w:kern w:val="0"/>
          <w:szCs w:val="21"/>
          <w:highlight w:val="none"/>
        </w:rPr>
        <w:t>违约金、</w:t>
      </w:r>
      <w:r>
        <w:rPr>
          <w:rFonts w:hint="eastAsia" w:ascii="宋体" w:hAnsi="宋体"/>
          <w:color w:val="auto"/>
          <w:szCs w:val="21"/>
          <w:highlight w:val="none"/>
        </w:rPr>
        <w:t xml:space="preserve">代扣代缴等各项款项后支付已供合格数量货款的  </w:t>
      </w:r>
      <w:r>
        <w:rPr>
          <w:rFonts w:hint="eastAsia" w:ascii="宋体" w:hAnsi="宋体"/>
          <w:color w:val="auto"/>
          <w:szCs w:val="21"/>
          <w:highlight w:val="none"/>
          <w:u w:val="single"/>
        </w:rPr>
        <w:t xml:space="preserve"> 97 </w:t>
      </w:r>
      <w:r>
        <w:rPr>
          <w:rFonts w:hint="eastAsia" w:ascii="宋体" w:hAnsi="宋体"/>
          <w:color w:val="auto"/>
          <w:szCs w:val="21"/>
          <w:highlight w:val="none"/>
        </w:rPr>
        <w:t xml:space="preserve">  %。</w:t>
      </w:r>
      <w:bookmarkEnd w:id="14"/>
      <w:r>
        <w:rPr>
          <w:rFonts w:hint="eastAsia" w:ascii="宋体" w:hAnsi="宋体" w:cs="宋体"/>
          <w:color w:val="auto"/>
          <w:kern w:val="0"/>
          <w:szCs w:val="21"/>
          <w:highlight w:val="none"/>
        </w:rPr>
        <w:t>材料结算金额的</w:t>
      </w:r>
      <w:r>
        <w:rPr>
          <w:rFonts w:hint="eastAsia" w:ascii="宋体" w:hAnsi="宋体" w:cs="宋体"/>
          <w:b/>
          <w:bCs/>
          <w:color w:val="auto"/>
          <w:kern w:val="0"/>
          <w:szCs w:val="21"/>
          <w:highlight w:val="none"/>
          <w:u w:val="single"/>
        </w:rPr>
        <w:t xml:space="preserve"> 3%</w:t>
      </w:r>
      <w:r>
        <w:rPr>
          <w:rFonts w:hint="eastAsia" w:ascii="宋体" w:hAnsi="宋体" w:cs="宋体"/>
          <w:b/>
          <w:color w:val="auto"/>
          <w:kern w:val="0"/>
          <w:szCs w:val="21"/>
          <w:highlight w:val="none"/>
          <w:u w:val="single"/>
        </w:rPr>
        <w:t xml:space="preserve"> </w:t>
      </w:r>
      <w:r>
        <w:rPr>
          <w:rFonts w:hint="eastAsia" w:ascii="宋体" w:hAnsi="宋体" w:cs="宋体"/>
          <w:color w:val="auto"/>
          <w:kern w:val="0"/>
          <w:szCs w:val="21"/>
          <w:highlight w:val="none"/>
        </w:rPr>
        <w:t>留作质保金</w:t>
      </w:r>
      <w:bookmarkEnd w:id="12"/>
      <w:r>
        <w:rPr>
          <w:rFonts w:hint="eastAsia" w:ascii="宋体" w:hAnsi="宋体" w:cs="宋体"/>
          <w:color w:val="auto"/>
          <w:kern w:val="0"/>
          <w:szCs w:val="21"/>
          <w:highlight w:val="none"/>
        </w:rPr>
        <w:t>，</w:t>
      </w:r>
      <w:r>
        <w:rPr>
          <w:rFonts w:hint="eastAsia" w:ascii="宋体" w:hAnsi="宋体"/>
          <w:color w:val="auto"/>
          <w:szCs w:val="21"/>
          <w:highlight w:val="none"/>
        </w:rPr>
        <w:t>待工程竣工验收期满二年、业主所有款项全部到甲方账户并扣除乙方在甲方发生的缺陷修复费用和其他相关费用后</w:t>
      </w:r>
      <w:r>
        <w:rPr>
          <w:rFonts w:hint="eastAsia" w:ascii="宋体" w:hAnsi="宋体" w:cs="宋体"/>
          <w:color w:val="auto"/>
          <w:kern w:val="0"/>
          <w:szCs w:val="21"/>
          <w:highlight w:val="none"/>
        </w:rPr>
        <w:t>无利息返还给乙方</w:t>
      </w:r>
      <w:r>
        <w:rPr>
          <w:rFonts w:hint="eastAsia" w:ascii="宋体" w:hAnsi="宋体"/>
          <w:color w:val="auto"/>
          <w:szCs w:val="21"/>
          <w:highlight w:val="none"/>
        </w:rPr>
        <w:t>。</w:t>
      </w:r>
      <w:r>
        <w:rPr>
          <w:rFonts w:ascii="宋体" w:hAnsi="宋体" w:cs="宋体"/>
          <w:color w:val="auto"/>
          <w:kern w:val="0"/>
          <w:szCs w:val="21"/>
          <w:highlight w:val="none"/>
        </w:rPr>
        <w:t>如因本工程业主计价滞后工程款不能及时到位时，付款时间相应顺延。</w:t>
      </w:r>
    </w:p>
    <w:bookmarkEnd w:id="13"/>
    <w:p w14:paraId="75330C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left="141" w:leftChars="67" w:firstLine="306" w:firstLineChars="146"/>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8.4甲方按合同签订时预留的银行账户支付货款，严禁现金结算，不接受乙方的委托付款。 </w:t>
      </w:r>
      <w:r>
        <w:rPr>
          <w:rFonts w:ascii="宋体" w:hAnsi="宋体" w:cs="宋体"/>
          <w:color w:val="auto"/>
          <w:kern w:val="0"/>
          <w:szCs w:val="21"/>
          <w:highlight w:val="none"/>
        </w:rPr>
        <w:t>如乙方随意改变帐户，甲方将拒付货款，由此引起的延期付款责任及相关的损失全由乙方</w:t>
      </w:r>
      <w:r>
        <w:rPr>
          <w:rFonts w:hint="eastAsia" w:ascii="宋体" w:hAnsi="宋体" w:cs="宋体"/>
          <w:color w:val="auto"/>
          <w:kern w:val="0"/>
          <w:szCs w:val="21"/>
          <w:highlight w:val="none"/>
        </w:rPr>
        <w:t>承</w:t>
      </w:r>
      <w:r>
        <w:rPr>
          <w:rFonts w:ascii="宋体" w:hAnsi="宋体" w:cs="宋体"/>
          <w:color w:val="auto"/>
          <w:kern w:val="0"/>
          <w:szCs w:val="21"/>
          <w:highlight w:val="none"/>
        </w:rPr>
        <w:t>担。</w:t>
      </w:r>
    </w:p>
    <w:p w14:paraId="154A7E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特别约定：乙方作为专业从事工程建设的供应商，熟知本工程建设单位及当地政府的计量结算流程。因此，乙方充分理解在本合同履行中，甲方依据本合同约定的付款会受到建设单位及当地政府支付工程款的影响。乙方同意甲方的付款比例</w:t>
      </w:r>
      <w:bookmarkStart w:id="16" w:name="OLE_LINK64"/>
      <w:r>
        <w:rPr>
          <w:rFonts w:hint="eastAsia" w:ascii="宋体" w:hAnsi="宋体" w:cs="宋体"/>
          <w:b/>
          <w:bCs/>
          <w:color w:val="auto"/>
          <w:kern w:val="0"/>
          <w:szCs w:val="21"/>
          <w:highlight w:val="none"/>
        </w:rPr>
        <w:t>以建设单位及当地政府的按期付款比例</w:t>
      </w:r>
      <w:bookmarkEnd w:id="16"/>
      <w:r>
        <w:rPr>
          <w:rFonts w:hint="eastAsia" w:ascii="宋体" w:hAnsi="宋体" w:cs="宋体"/>
          <w:b/>
          <w:bCs/>
          <w:color w:val="auto"/>
          <w:kern w:val="0"/>
          <w:szCs w:val="21"/>
          <w:highlight w:val="none"/>
        </w:rPr>
        <w:t>为前提，如因建设单位及当地政府迟延支付工程款，甲方可以相应顺延支付乙方劳务报酬且不承担违约责任。乙方不得以任何方式和理由（包括但不限于履行期限不明）依据本合同向甲方索要劳务报酬及利息或其他资金成本。同时，乙方仍须积极配合甲方向建设单位及当地政府催付工程款，对上述迟延付款风险乙方明知且自愿承担。乙方对甲方享有的债权专属于乙方，并不得转让给任何其他方。</w:t>
      </w:r>
    </w:p>
    <w:p w14:paraId="3D847784">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第九条、履约保证</w:t>
      </w:r>
    </w:p>
    <w:p w14:paraId="1B1D20E0">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9.1 乙方在签订本合同前必须向甲方提交人民币</w:t>
      </w:r>
      <w:r>
        <w:rPr>
          <w:rFonts w:hint="eastAsia" w:ascii="宋体" w:hAnsi="宋体" w:cs="宋体"/>
          <w:b/>
          <w:color w:val="auto"/>
          <w:kern w:val="0"/>
          <w:szCs w:val="21"/>
          <w:highlight w:val="none"/>
          <w:u w:val="single"/>
        </w:rPr>
        <w:t xml:space="preserve"> / </w:t>
      </w:r>
      <w:r>
        <w:rPr>
          <w:rFonts w:hint="eastAsia" w:ascii="宋体" w:hAnsi="宋体" w:cs="宋体"/>
          <w:color w:val="auto"/>
          <w:kern w:val="0"/>
          <w:szCs w:val="21"/>
          <w:highlight w:val="none"/>
        </w:rPr>
        <w:t>万元的履约保证金。</w:t>
      </w:r>
    </w:p>
    <w:p w14:paraId="75C146B9">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9.2 履约保证金在乙方全部履约完本合同的所有责任义务后一周内不计息返还。</w:t>
      </w:r>
    </w:p>
    <w:p w14:paraId="0309F36D">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第十条、甲方责任及违约</w:t>
      </w:r>
    </w:p>
    <w:p w14:paraId="66BBCE4D">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10.1 负责材料的取样检验及验收。</w:t>
      </w:r>
    </w:p>
    <w:p w14:paraId="1A02D275">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10.2 按合同约定支付材料结算款。 </w:t>
      </w:r>
    </w:p>
    <w:p w14:paraId="273A0099">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第十一条、乙方责任及违约</w:t>
      </w:r>
    </w:p>
    <w:p w14:paraId="18B795F8">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 乙方必须保质保量按时供应甲方所需材料，并使甲方满意，否则甲方有权单方面解除合同，且乙方须无条件接受并承担全部责任。给甲方造成损失的，由乙方赔偿甲方损失。</w:t>
      </w:r>
    </w:p>
    <w:p w14:paraId="25A1C027">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11.2 乙方不履行本合同义务的，甲方有权解除本合同，乙方须无条件接受并承担完全责任，赔偿由此造成甲方的损失。</w:t>
      </w:r>
    </w:p>
    <w:p w14:paraId="0056499C">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11.3 乙方接到甲方的通知后，8小时内不能将材料送达到甲方指定堆料场的，乙方要承担违约责任，每违约一次偿付人民币</w:t>
      </w:r>
      <w:r>
        <w:rPr>
          <w:rFonts w:hint="eastAsia" w:ascii="宋体" w:hAnsi="宋体" w:cs="宋体"/>
          <w:b/>
          <w:color w:val="auto"/>
          <w:kern w:val="0"/>
          <w:szCs w:val="21"/>
          <w:highlight w:val="none"/>
          <w:u w:val="single"/>
        </w:rPr>
        <w:t>2</w:t>
      </w:r>
      <w:r>
        <w:rPr>
          <w:rFonts w:hint="eastAsia" w:ascii="宋体" w:hAnsi="宋体" w:cs="宋体"/>
          <w:color w:val="auto"/>
          <w:kern w:val="0"/>
          <w:szCs w:val="21"/>
          <w:highlight w:val="none"/>
        </w:rPr>
        <w:t>万元违约金，并承担赔偿由此造成甲方的损失。</w:t>
      </w:r>
    </w:p>
    <w:p w14:paraId="7569F1A0">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11.4 乙方所供应的材料的产地、规格、质量不符合合同规定的，由乙方负责退货并</w:t>
      </w:r>
      <w:bookmarkStart w:id="17" w:name="OLE_LINK65"/>
      <w:r>
        <w:rPr>
          <w:rFonts w:hint="eastAsia" w:ascii="宋体" w:hAnsi="宋体" w:cs="宋体"/>
          <w:color w:val="auto"/>
          <w:kern w:val="0"/>
          <w:szCs w:val="21"/>
          <w:highlight w:val="none"/>
        </w:rPr>
        <w:t>承担退货及返工发生的一切费用</w:t>
      </w:r>
      <w:bookmarkEnd w:id="17"/>
      <w:r>
        <w:rPr>
          <w:rFonts w:hint="eastAsia" w:ascii="宋体" w:hAnsi="宋体" w:cs="宋体"/>
          <w:color w:val="auto"/>
          <w:kern w:val="0"/>
          <w:szCs w:val="21"/>
          <w:highlight w:val="none"/>
        </w:rPr>
        <w:t>，并按甲方要求的时间自行清退不合格材料。乙方要承担违约责任，每违约一次偿付人民币</w:t>
      </w:r>
      <w:r>
        <w:rPr>
          <w:rFonts w:hint="eastAsia" w:ascii="宋体" w:hAnsi="宋体" w:cs="宋体"/>
          <w:b/>
          <w:color w:val="auto"/>
          <w:kern w:val="0"/>
          <w:szCs w:val="21"/>
          <w:highlight w:val="none"/>
          <w:u w:val="single"/>
        </w:rPr>
        <w:t>2</w:t>
      </w:r>
      <w:r>
        <w:rPr>
          <w:rFonts w:hint="eastAsia" w:ascii="宋体" w:hAnsi="宋体" w:cs="宋体"/>
          <w:color w:val="auto"/>
          <w:kern w:val="0"/>
          <w:szCs w:val="21"/>
          <w:highlight w:val="none"/>
        </w:rPr>
        <w:t>万元的违约金。给甲方造成损失的，还须赔偿损失。</w:t>
      </w:r>
    </w:p>
    <w:p w14:paraId="61DFB667">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11.5 乙方负责将材料安全送到甲方指定地点，材料在运抵甲方指定地点卸完前乙方发生的一切费用、安全责任和风险均由乙方自行承担；乙方与地方关系发生的纠纷，乙方须自行处理解决，甲方概不负责。</w:t>
      </w:r>
    </w:p>
    <w:p w14:paraId="74E74580">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11.6 乙方不得将材料采购权全部或部分转让给任何第三方，否则甲方面有权解除合同，乙方承担违约责任。</w:t>
      </w:r>
    </w:p>
    <w:p w14:paraId="452B8F14">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11.7 乙方材料的供应应服从甲方的协调和指挥，否则甲方有权单方面解除合同，乙方承担全部责任。</w:t>
      </w:r>
    </w:p>
    <w:p w14:paraId="67AE6724">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11.8 乙方负责材料供应过程中所有地方及周边关系的协调。</w:t>
      </w:r>
    </w:p>
    <w:p w14:paraId="04B6DB32">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11.9 乙方负责材料的协调和卸车。</w:t>
      </w:r>
    </w:p>
    <w:p w14:paraId="2A12AC65">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11.10 乙方必须做好材料在开采、运输等过程中的环境保护，遵守国家和行业的有关规定。因违反规定而受到处罚的，乙方承担全部责任。</w:t>
      </w:r>
    </w:p>
    <w:p w14:paraId="6DAD11D1">
      <w:pPr>
        <w:widowControl/>
        <w:spacing w:line="5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11.11 乙方必须向甲方提供资源税完税证明、税务登记证副本及与甲方对账数量相符的税务发票，乙方不能提供的，甲方有权按当地税务部门税率代扣代缴。</w:t>
      </w:r>
    </w:p>
    <w:p w14:paraId="705B9D58">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11.12 由于乙方原因致使甲方单方面解除合同的，乙方在接到甲方书面解除合同通知后，必须在12小时内拆走自己所有的机械设备，否则甲方按其放弃所有权处理。</w:t>
      </w:r>
    </w:p>
    <w:p w14:paraId="0272632E">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11.13 乙方虚报材料数量、规格或伙同甲方工作人员虚报材料数量、规格，甲方经查出事实确凿一次，甲方有权对乙方处以</w:t>
      </w:r>
      <w:r>
        <w:rPr>
          <w:rFonts w:hint="eastAsia" w:ascii="宋体" w:hAnsi="宋体" w:cs="宋体"/>
          <w:b/>
          <w:color w:val="auto"/>
          <w:kern w:val="0"/>
          <w:szCs w:val="21"/>
          <w:highlight w:val="none"/>
          <w:u w:val="single"/>
        </w:rPr>
        <w:t>5</w:t>
      </w:r>
      <w:r>
        <w:rPr>
          <w:rFonts w:hint="eastAsia" w:ascii="宋体" w:hAnsi="宋体" w:cs="宋体"/>
          <w:color w:val="auto"/>
          <w:kern w:val="0"/>
          <w:szCs w:val="21"/>
          <w:highlight w:val="none"/>
        </w:rPr>
        <w:t>倍虚报数量的罚款。如发生此类事实二次，甲方有权单方面解除本合同并没收履约保证金。</w:t>
      </w:r>
    </w:p>
    <w:p w14:paraId="0B7FF347">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11.14 乙方因受甲方工作人员胁迫虚报材料数量、规格，乙方不向甲方汇报，则甲方有权认为乙方存在虚报材料数量、规格的事实，处罚按11.13款执行。</w:t>
      </w:r>
    </w:p>
    <w:p w14:paraId="27F95854">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11.15 摊铺厚度、压实度验收及扣量扣价标准​</w:t>
      </w:r>
    </w:p>
    <w:p w14:paraId="4D8A1723">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本项目沥青混凝土按面积结算，摊铺厚度、压实度为核心验收及结算指标，具体规则如下：​ 1、摊铺厚度偏差及扣罚标准​</w:t>
      </w:r>
    </w:p>
    <w:p w14:paraId="12514704">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 验收基准：以施工图及甲方确认的专项施工方案设计厚度为唯一标准，采用钻孔取芯测厚等标准方式实测验收。​</w:t>
      </w:r>
    </w:p>
    <w:p w14:paraId="03B8C51A">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 合格范围：厚度偏差±4mm（含），不扣量扣价。​</w:t>
      </w:r>
    </w:p>
    <w:p w14:paraId="47F1DF35">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（3）负偏差超标：偏差超4mm的，单处每少1mm，扣除对应点位摊铺面积3%工程量及价款；偏差超8mm的，加倍扣罚，乙方须无条件返工，自行承担人材机费用，工期不予顺延。​</w:t>
      </w:r>
    </w:p>
    <w:p w14:paraId="3F3D86DB">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（4）正偏差超标：厚度超设计值4mm以上部分不计入结算，超厚材料损耗由乙方承担，且乙方需按甲方要求调整摊铺工艺。​</w:t>
      </w:r>
    </w:p>
    <w:p w14:paraId="00589632">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2、压实度验收标准及处置​</w:t>
      </w:r>
    </w:p>
    <w:p w14:paraId="331EBE39">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（1）验收标准：沥青路面压实度符合</w:t>
      </w:r>
      <w:r>
        <w:rPr>
          <w:rFonts w:hint="eastAsia" w:ascii="宋体" w:hAnsi="宋体" w:eastAsia="宋体" w:cs="宋体"/>
          <w:color w:val="auto"/>
          <w:kern w:val="0"/>
          <w:szCs w:val="21"/>
          <w:highlight w:val="none"/>
          <w:lang w:val="en-US" w:eastAsia="zh-CN"/>
        </w:rPr>
        <w:t>《公路工程质量检验评定标准》（JTG F80/1-2017）</w:t>
      </w:r>
      <w:r>
        <w:rPr>
          <w:rFonts w:hint="eastAsia" w:ascii="宋体" w:hAnsi="宋体" w:cs="宋体"/>
          <w:color w:val="auto"/>
          <w:kern w:val="0"/>
          <w:szCs w:val="21"/>
          <w:highlight w:val="none"/>
          <w:lang w:val="en-US" w:eastAsia="zh-CN"/>
        </w:rPr>
        <w:t>及项目设计要求，以第三方钻孔取芯检测数据为最终依据。​</w:t>
      </w:r>
    </w:p>
    <w:p w14:paraId="06E7347B">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（2）不合格处置：单段压实度不达标判定验收不合格，乙方须立即返工、复压整改；整改后仍不合格，甲方扣除该段落全部结算价款，乙方承担工期延误、检测、返修等全部损失。​</w:t>
      </w:r>
    </w:p>
    <w:p w14:paraId="4C35234B">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11.16 热拌沥青混凝土供货响应时效标准​</w:t>
      </w:r>
    </w:p>
    <w:p w14:paraId="5CFB1EBB">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结合热拌沥青不可久存、需即时摊铺的特性，明确供货时限及履约要求，保障施工连续性：​ （1）通知计时：甲方以可留存记录方式下达供货指令，明确材料参数、数量、到场时间及路段，指令下达即为计时起点。​</w:t>
      </w:r>
    </w:p>
    <w:p w14:paraId="40817735">
      <w:pPr>
        <w:widowControl/>
        <w:spacing w:line="500" w:lineRule="exact"/>
        <w:ind w:firstLine="210" w:firstLineChars="1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（2）常规供货：乙方30分钟内完成资源调配确认并反馈，2小时内首批材料到场并具备卸料施工条件。​</w:t>
      </w:r>
    </w:p>
    <w:p w14:paraId="745DD02D">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（3）应急供货：赶工、抢修等应急场景，乙方须1小时内首批材料到场，保障施工连续。</w:t>
      </w:r>
    </w:p>
    <w:p w14:paraId="5FDCA8B4">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（4）超时责任：无正当理由供货延误，按合同违约条款处罚；因供货滞后造成停工、材料报废、施工质量缺陷等，乙方承担全部损失。​</w:t>
      </w:r>
    </w:p>
    <w:p w14:paraId="7C07D525">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（5）免责情形：不可抗力导致供货延误，乙方及时报备甲方并经核实后，可顺延供货时限，不予追责。​</w:t>
      </w:r>
    </w:p>
    <w:p w14:paraId="3D6927F3">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11.17 质量及供货延误梯度违约金条款​</w:t>
      </w:r>
    </w:p>
    <w:p w14:paraId="7C5DEDAF">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违约金以项目单项合同总金额为计算基数，实行梯度追责，通用规则：违约金可从当期结算款直接扣除；单次违约金最高不超合同总额5%，累计不超20%，实际损失超出违约金的，甲方有权追偿差额。​</w:t>
      </w:r>
    </w:p>
    <w:p w14:paraId="19A40190">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1、质量缺陷梯度违约金​</w:t>
      </w:r>
    </w:p>
    <w:p w14:paraId="1B4E2244">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 轻微问题：轻微色差、小幅温度偏差，不影响结构及使用性能且及时整改的，违约金0.5%。</w:t>
      </w:r>
    </w:p>
    <w:p w14:paraId="48176787">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（2）一般问题：材料级配、粘度、拌合温度不达标，造成局部摊铺瑕疵、需局部返修的，违约金1%-2%，并承担全部返修成本。​</w:t>
      </w:r>
    </w:p>
    <w:p w14:paraId="6039DB10">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（3）严重问题：材料不合格、配比严重偏差，导致路面指标不达标、需大面积返工的，违约金3%-5%；造成重大损失的，甲方可另行追责、单方解除合同。​</w:t>
      </w:r>
    </w:p>
    <w:p w14:paraId="772B5F67">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2、供货延误梯度违约金​</w:t>
      </w:r>
    </w:p>
    <w:p w14:paraId="46CA22A0">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（1）轻微延误：逾期30分钟-2小时，违约金0.5%。​</w:t>
      </w:r>
    </w:p>
    <w:p w14:paraId="420ABD84">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（2）一般延误：逾期2小时-4小时，违约金1.5%。​</w:t>
      </w:r>
    </w:p>
    <w:p w14:paraId="158808BD">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 严重延误：逾期4小时以上，或月度累计延误3次及以上，违约金3%-5%，甲方可缩减供货量或终止合作。​</w:t>
      </w:r>
    </w:p>
    <w:p w14:paraId="1068814A">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11.18 配合比选用及现场复核管理​</w:t>
      </w:r>
    </w:p>
    <w:p w14:paraId="7B256D5B">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 目标配合比：第三方出具的目标配合比仅作设计、概算参考，不作为现场生产、施工验收依据，无现场执行效力。​</w:t>
      </w:r>
    </w:p>
    <w:p w14:paraId="01AFA2B1">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（2）生产配合比复核：乙方批量供货前，需结合现场原材料、设备、环境等实际情况，完成生产配合比试验、试拌及检测，出具正式报告并报甲方、监理审核备案。​</w:t>
      </w:r>
    </w:p>
    <w:p w14:paraId="38ED5CCC">
      <w:pPr>
        <w:widowControl/>
        <w:spacing w:line="5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（3）验收要求：生产配合比经甲乙双方及监理核验合格后方可投产，未复核或复核不合格擅自供货的，批次材料判定为不合格，甲方拒收、不予结算并追究质量违约责任。​</w:t>
      </w:r>
    </w:p>
    <w:p w14:paraId="3EDAF730">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（4）动态复核：原材料、施工环境、拌合工艺变更时，乙方须重新复核配合比，未及时复核引发质量问题的，由乙方全权负责。</w:t>
      </w:r>
    </w:p>
    <w:p w14:paraId="11DF71F3">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第十二条、不可抗力</w:t>
      </w:r>
    </w:p>
    <w:p w14:paraId="33F5F05C">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12.1 由于不可抗力的原因不能履行合同时，甲方（或乙方）应及时向乙方（或甲方）通报不能履行或不能完全履行的理由，在取得有关主管机关证明后，允许延期履行、部分履行或不履行合同，并根据情况可部分或全部免予承担违约责任。</w:t>
      </w:r>
    </w:p>
    <w:p w14:paraId="3B7A9F7D">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12.2 由于国家有关部门对本项目计划调整，需调整或缓建时，本合同可由甲方予以终止（出示有关通知或文件），乙方无条件接受。</w:t>
      </w:r>
    </w:p>
    <w:p w14:paraId="56071363">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第十三条、解决合同争议的方式</w:t>
      </w:r>
    </w:p>
    <w:p w14:paraId="76A80353">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13.1 在合同执行过程中如发生争议时，双方应及时协商解决。</w:t>
      </w:r>
    </w:p>
    <w:p w14:paraId="201F5F76">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13.2 如协商不成时，双方商定向甲方总部所在地人民法院提交诉讼，费用由败诉方负责。</w:t>
      </w:r>
    </w:p>
    <w:p w14:paraId="40A12779">
      <w:pPr>
        <w:widowControl/>
        <w:spacing w:line="500" w:lineRule="exact"/>
        <w:jc w:val="left"/>
        <w:rPr>
          <w:rFonts w:hint="eastAsia" w:ascii="宋体" w:hAnsi="宋体"/>
          <w:color w:val="auto"/>
          <w:szCs w:val="21"/>
          <w:highlight w:val="none"/>
        </w:rPr>
      </w:pPr>
      <w:r>
        <w:rPr>
          <w:rFonts w:hint="eastAsia" w:ascii="宋体" w:hAnsi="宋体" w:cs="宋体"/>
          <w:b/>
          <w:bCs/>
          <w:color w:val="auto"/>
          <w:kern w:val="0"/>
          <w:szCs w:val="21"/>
          <w:highlight w:val="none"/>
        </w:rPr>
        <w:t>第十四条：</w:t>
      </w:r>
      <w:r>
        <w:rPr>
          <w:rFonts w:hint="eastAsia" w:ascii="宋体" w:hAnsi="宋体" w:cs="宋体"/>
          <w:color w:val="auto"/>
          <w:kern w:val="0"/>
          <w:szCs w:val="21"/>
          <w:highlight w:val="none"/>
        </w:rPr>
        <w:t>本合同附乙方</w:t>
      </w:r>
      <w:r>
        <w:rPr>
          <w:rFonts w:hint="eastAsia" w:ascii="宋体" w:hAnsi="宋体"/>
          <w:color w:val="auto"/>
          <w:szCs w:val="21"/>
          <w:highlight w:val="none"/>
        </w:rPr>
        <w:t>公司营业执照、税务登记证、组织机构代码证（或“三证合一”证书）、基本存款账户开户许可证、身份证复印件、《授权委托书》等资料。</w:t>
      </w:r>
    </w:p>
    <w:p w14:paraId="28CC5E61">
      <w:pPr>
        <w:widowControl/>
        <w:spacing w:line="500" w:lineRule="exact"/>
        <w:jc w:val="left"/>
        <w:rPr>
          <w:rFonts w:hint="eastAsia" w:ascii="宋体" w:hAnsi="宋体" w:cs="宋体"/>
          <w:color w:val="auto"/>
          <w:kern w:val="0"/>
          <w:szCs w:val="21"/>
          <w:highlight w:val="none"/>
        </w:rPr>
      </w:pPr>
      <w:r>
        <w:rPr>
          <w:rFonts w:hint="eastAsia" w:ascii="宋体" w:hAnsi="宋体" w:cs="宋体"/>
          <w:b/>
          <w:color w:val="auto"/>
          <w:kern w:val="0"/>
          <w:szCs w:val="21"/>
          <w:highlight w:val="none"/>
        </w:rPr>
        <w:t>第十五条、合同效力:</w:t>
      </w:r>
      <w:r>
        <w:rPr>
          <w:rFonts w:hint="eastAsia" w:ascii="宋体" w:hAnsi="宋体" w:cs="宋体"/>
          <w:color w:val="auto"/>
          <w:kern w:val="0"/>
          <w:szCs w:val="21"/>
          <w:highlight w:val="none"/>
        </w:rPr>
        <w:t>本合同自双方签字盖章之日起生效，合同履行完毕甲方付清全部结算款后立即失效。</w:t>
      </w:r>
    </w:p>
    <w:p w14:paraId="531580FD">
      <w:pPr>
        <w:widowControl/>
        <w:spacing w:line="500" w:lineRule="exact"/>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第十六条、其他事宜</w:t>
      </w:r>
    </w:p>
    <w:p w14:paraId="55B0D254">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16.1 本合同未尽事宜，双方另行协商解决。</w:t>
      </w:r>
    </w:p>
    <w:p w14:paraId="4E6C00AB">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 本合同生效后，经双方确认的电传、电报、函件、书信等文字均为合同的组成部分。</w:t>
      </w:r>
    </w:p>
    <w:p w14:paraId="485901F4">
      <w:pPr>
        <w:widowControl/>
        <w:spacing w:line="50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16.3 本合同一式</w:t>
      </w:r>
      <w:r>
        <w:rPr>
          <w:rFonts w:hint="eastAsia" w:ascii="宋体" w:hAnsi="宋体" w:cs="宋体"/>
          <w:color w:val="auto"/>
          <w:kern w:val="0"/>
          <w:szCs w:val="21"/>
          <w:highlight w:val="none"/>
          <w:u w:val="single"/>
        </w:rPr>
        <w:t xml:space="preserve"> 肆 </w:t>
      </w:r>
      <w:r>
        <w:rPr>
          <w:rFonts w:hint="eastAsia" w:ascii="宋体" w:hAnsi="宋体" w:cs="宋体"/>
          <w:color w:val="auto"/>
          <w:kern w:val="0"/>
          <w:szCs w:val="21"/>
          <w:highlight w:val="none"/>
        </w:rPr>
        <w:t>份，甲方执</w:t>
      </w:r>
      <w:r>
        <w:rPr>
          <w:rFonts w:hint="eastAsia" w:ascii="宋体" w:hAnsi="宋体" w:cs="宋体"/>
          <w:color w:val="auto"/>
          <w:kern w:val="0"/>
          <w:szCs w:val="21"/>
          <w:highlight w:val="none"/>
          <w:u w:val="single"/>
        </w:rPr>
        <w:t xml:space="preserve"> 叁 </w:t>
      </w:r>
      <w:r>
        <w:rPr>
          <w:rFonts w:hint="eastAsia" w:ascii="宋体" w:hAnsi="宋体" w:cs="宋体"/>
          <w:color w:val="auto"/>
          <w:kern w:val="0"/>
          <w:szCs w:val="21"/>
          <w:highlight w:val="none"/>
        </w:rPr>
        <w:t xml:space="preserve">份、乙方执 </w:t>
      </w:r>
      <w:r>
        <w:rPr>
          <w:rFonts w:hint="eastAsia" w:ascii="宋体" w:hAnsi="宋体" w:cs="宋体"/>
          <w:color w:val="auto"/>
          <w:kern w:val="0"/>
          <w:szCs w:val="21"/>
          <w:highlight w:val="none"/>
          <w:u w:val="single"/>
        </w:rPr>
        <w:t xml:space="preserve">壹 </w:t>
      </w:r>
      <w:r>
        <w:rPr>
          <w:rFonts w:hint="eastAsia" w:ascii="宋体" w:hAnsi="宋体" w:cs="宋体"/>
          <w:color w:val="auto"/>
          <w:kern w:val="0"/>
          <w:szCs w:val="21"/>
          <w:highlight w:val="none"/>
        </w:rPr>
        <w:t>份。</w:t>
      </w:r>
    </w:p>
    <w:p w14:paraId="45FC79D8">
      <w:pPr>
        <w:widowControl/>
        <w:spacing w:line="500" w:lineRule="exact"/>
        <w:jc w:val="left"/>
        <w:rPr>
          <w:rFonts w:hint="eastAsia" w:ascii="宋体" w:hAnsi="宋体" w:cs="宋体"/>
          <w:color w:val="auto"/>
          <w:kern w:val="0"/>
          <w:szCs w:val="21"/>
          <w:highlight w:val="none"/>
        </w:rPr>
      </w:pPr>
    </w:p>
    <w:p w14:paraId="756B3275">
      <w:pPr>
        <w:widowControl/>
        <w:spacing w:line="500" w:lineRule="exact"/>
        <w:ind w:firstLine="1365" w:firstLineChars="6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甲    方：                                    乙    方:</w:t>
      </w:r>
    </w:p>
    <w:p w14:paraId="666F4C62">
      <w:pPr>
        <w:widowControl/>
        <w:spacing w:line="500" w:lineRule="exact"/>
        <w:ind w:firstLine="630" w:firstLineChars="3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单位名称：（签字、盖章）                      单位名称：（签字、盖章）</w:t>
      </w:r>
    </w:p>
    <w:p w14:paraId="1045BD74">
      <w:pPr>
        <w:widowControl/>
        <w:spacing w:line="500" w:lineRule="exact"/>
        <w:ind w:firstLine="2205" w:firstLineChars="10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p>
    <w:p w14:paraId="0C0B2ADF">
      <w:pPr>
        <w:widowControl/>
        <w:spacing w:line="500" w:lineRule="exact"/>
        <w:ind w:firstLine="1365" w:firstLineChars="6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日    期：                                     日    期：</w:t>
      </w:r>
    </w:p>
    <w:p w14:paraId="4A84A1D8">
      <w:pPr>
        <w:widowControl/>
        <w:spacing w:line="500" w:lineRule="exact"/>
        <w:ind w:firstLine="1365" w:firstLineChars="650"/>
        <w:jc w:val="left"/>
        <w:rPr>
          <w:rFonts w:hint="eastAsia" w:ascii="宋体" w:hAnsi="宋体" w:cs="宋体"/>
          <w:color w:val="auto"/>
          <w:kern w:val="0"/>
          <w:szCs w:val="21"/>
          <w:highlight w:val="none"/>
        </w:rPr>
      </w:pPr>
    </w:p>
    <w:p w14:paraId="344F8276">
      <w:pPr>
        <w:widowControl/>
        <w:spacing w:line="500" w:lineRule="exact"/>
        <w:ind w:firstLine="1365" w:firstLineChars="650"/>
        <w:jc w:val="left"/>
        <w:rPr>
          <w:rFonts w:hint="eastAsia" w:ascii="宋体" w:hAnsi="宋体" w:cs="宋体"/>
          <w:kern w:val="0"/>
          <w:szCs w:val="21"/>
        </w:rPr>
      </w:pPr>
    </w:p>
    <w:p w14:paraId="01F7D8AC">
      <w:pPr>
        <w:rPr>
          <w:rFonts w:hint="default" w:ascii="Arial" w:eastAsia="宋体"/>
          <w:sz w:val="21"/>
          <w:lang w:val="en-US" w:eastAsia="zh-CN"/>
        </w:rPr>
      </w:pPr>
    </w:p>
    <w:sectPr>
      <w:footerReference r:id="rId7" w:type="default"/>
      <w:pgSz w:w="11900" w:h="16820"/>
      <w:pgMar w:top="1429" w:right="1695" w:bottom="1029" w:left="1574" w:header="0" w:footer="849"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C161F8C-4422-4DF4-ABC5-CFF73F2BCE95}"/>
  </w:font>
  <w:font w:name="黑体">
    <w:panose1 w:val="02010609060101010101"/>
    <w:charset w:val="86"/>
    <w:family w:val="auto"/>
    <w:pitch w:val="default"/>
    <w:sig w:usb0="800002BF" w:usb1="38CF7CFA" w:usb2="00000016" w:usb3="00000000" w:csb0="00040001" w:csb1="00000000"/>
    <w:embedRegular r:id="rId2" w:fontKey="{2CAA11B4-6B51-4DB1-956B-E4467A5BCC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67FF895B-4895-4AE8-B8F2-4B3B8DE61DCF}"/>
  </w:font>
  <w:font w:name="仿宋">
    <w:panose1 w:val="02010609060101010101"/>
    <w:charset w:val="86"/>
    <w:family w:val="auto"/>
    <w:pitch w:val="default"/>
    <w:sig w:usb0="800002BF" w:usb1="38CF7CFA" w:usb2="00000016" w:usb3="00000000" w:csb0="00040001" w:csb1="00000000"/>
    <w:embedRegular r:id="rId4" w:fontKey="{D010E200-358B-4A05-98D5-AC649D0A2D3A}"/>
  </w:font>
  <w:font w:name="仿宋_GB2312">
    <w:panose1 w:val="02010609030101010101"/>
    <w:charset w:val="86"/>
    <w:family w:val="modern"/>
    <w:pitch w:val="default"/>
    <w:sig w:usb0="00000001" w:usb1="080E0000" w:usb2="00000000" w:usb3="00000000" w:csb0="00040000" w:csb1="00000000"/>
    <w:embedRegular r:id="rId5" w:fontKey="{6E32000F-9E80-42A2-8103-E43D4223C120}"/>
  </w:font>
  <w:font w:name="方正小标宋_GBK">
    <w:panose1 w:val="02000000000000000000"/>
    <w:charset w:val="86"/>
    <w:family w:val="auto"/>
    <w:pitch w:val="default"/>
    <w:sig w:usb0="A00002BF" w:usb1="38CF7CFA" w:usb2="00082016" w:usb3="00000000" w:csb0="00040001" w:csb1="00000000"/>
    <w:embedRegular r:id="rId6" w:fontKey="{2805087D-B595-46A3-B806-79CC03EA7B87}"/>
  </w:font>
  <w:font w:name="华文中宋">
    <w:panose1 w:val="02010600040101010101"/>
    <w:charset w:val="86"/>
    <w:family w:val="auto"/>
    <w:pitch w:val="default"/>
    <w:sig w:usb0="00000287" w:usb1="080F0000" w:usb2="00000000" w:usb3="00000000" w:csb0="0004009F" w:csb1="DFD70000"/>
    <w:embedRegular r:id="rId7" w:fontKey="{3854FB54-5EE8-461C-B32A-3513BDF389E5}"/>
  </w:font>
  <w:font w:name="方正小标宋简体">
    <w:panose1 w:val="02000000000000000000"/>
    <w:charset w:val="86"/>
    <w:family w:val="auto"/>
    <w:pitch w:val="default"/>
    <w:sig w:usb0="00000001" w:usb1="08000000" w:usb2="00000000" w:usb3="00000000" w:csb0="00040000" w:csb1="00000000"/>
    <w:embedRegular r:id="rId8" w:fontKey="{A425A8F6-BB4A-4B62-B061-511737B0B30F}"/>
  </w:font>
  <w:font w:name="Wingdings 2">
    <w:panose1 w:val="05020102010507070707"/>
    <w:charset w:val="00"/>
    <w:family w:val="auto"/>
    <w:pitch w:val="default"/>
    <w:sig w:usb0="00000000" w:usb1="00000000" w:usb2="00000000" w:usb3="00000000" w:csb0="80000000" w:csb1="00000000"/>
    <w:embedRegular r:id="rId9" w:fontKey="{6F5C3D22-EA27-42D7-93F1-670AB7935DEF}"/>
  </w:font>
  <w:font w:name="华文仿宋">
    <w:panose1 w:val="02010600040101010101"/>
    <w:charset w:val="86"/>
    <w:family w:val="auto"/>
    <w:pitch w:val="default"/>
    <w:sig w:usb0="00000287" w:usb1="080F0000" w:usb2="00000000" w:usb3="00000000" w:csb0="0004009F" w:csb1="DFD70000"/>
    <w:embedRegular r:id="rId10" w:fontKey="{458FB9F1-232F-42C9-BD65-BEB5E2A4A41D}"/>
  </w:font>
  <w:font w:name="Segoe UI">
    <w:panose1 w:val="020B0502040204020203"/>
    <w:charset w:val="00"/>
    <w:family w:val="swiss"/>
    <w:pitch w:val="default"/>
    <w:sig w:usb0="E4002EFF" w:usb1="C000E47F" w:usb2="00000009" w:usb3="00000000" w:csb0="200001FF" w:csb1="00000000"/>
    <w:embedRegular r:id="rId11" w:fontKey="{F4F26693-C192-4D3D-83D9-113B8D574602}"/>
  </w:font>
  <w:font w:name="新宋体">
    <w:panose1 w:val="02010609030101010101"/>
    <w:charset w:val="86"/>
    <w:family w:val="auto"/>
    <w:pitch w:val="default"/>
    <w:sig w:usb0="00000203" w:usb1="288F0000" w:usb2="00000006" w:usb3="00000000" w:csb0="00040001" w:csb1="00000000"/>
    <w:embedRegular r:id="rId12" w:fontKey="{79E17115-F393-4102-9892-4810BB014349}"/>
  </w:font>
  <w:font w:name="WPSEMBED2">
    <w:panose1 w:val="02000000000000000000"/>
    <w:charset w:val="86"/>
    <w:family w:val="auto"/>
    <w:pitch w:val="default"/>
    <w:sig w:usb0="A00002BF" w:usb1="38CF7CFA" w:usb2="00082016" w:usb3="00000000" w:csb0="00040001" w:csb1="00000000"/>
  </w:font>
  <w:font w:name="WPSEMBED3">
    <w:panose1 w:val="02010600040101010101"/>
    <w:charset w:val="86"/>
    <w:family w:val="auto"/>
    <w:pitch w:val="default"/>
    <w:sig w:usb0="00000287" w:usb1="080F0000" w:usb2="00000000" w:usb3="00000000" w:csb0="0004009F" w:csb1="DFD70000"/>
  </w:font>
  <w:font w:name="WPSEMBED4">
    <w:panose1 w:val="05020102010507070707"/>
    <w:charset w:val="00"/>
    <w:family w:val="auto"/>
    <w:pitch w:val="default"/>
    <w:sig w:usb0="00000000" w:usb1="00000000" w:usb2="00000000" w:usb3="00000000" w:csb0="80000000" w:csb1="00000000"/>
  </w:font>
  <w:font w:name="WPSEMBED1">
    <w:panose1 w:val="02010609030101010101"/>
    <w:charset w:val="86"/>
    <w:family w:val="auto"/>
    <w:pitch w:val="default"/>
    <w:sig w:usb0="00000001" w:usb1="080E0000" w:usb2="00000000" w:usb3="00000000" w:csb0="00040000" w:csb1="00000000"/>
  </w:font>
  <w:font w:name="WPSEMBED5">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A2791">
    <w:pPr>
      <w:spacing w:line="177" w:lineRule="auto"/>
      <w:rPr>
        <w:rFonts w:ascii="Times New Roman" w:hAnsi="Times New Roman" w:eastAsia="Times New Roman" w:cs="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2059F">
    <w:pPr>
      <w:spacing w:line="177" w:lineRule="auto"/>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45CE2">
                          <w:pPr>
                            <w:pStyle w:val="11"/>
                          </w:pPr>
                          <w:r>
                            <w:t xml:space="preserve">— </w:t>
                          </w:r>
                          <w:r>
                            <w:fldChar w:fldCharType="begin"/>
                          </w:r>
                          <w:r>
                            <w:instrText xml:space="preserve"> PAGE  \* MERGEFORMAT </w:instrText>
                          </w:r>
                          <w:r>
                            <w:fldChar w:fldCharType="separate"/>
                          </w:r>
                          <w:r>
                            <w:t>91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3745CE2">
                    <w:pPr>
                      <w:pStyle w:val="11"/>
                    </w:pPr>
                    <w:r>
                      <w:t xml:space="preserve">— </w:t>
                    </w:r>
                    <w:r>
                      <w:fldChar w:fldCharType="begin"/>
                    </w:r>
                    <w:r>
                      <w:instrText xml:space="preserve"> PAGE  \* MERGEFORMAT </w:instrText>
                    </w:r>
                    <w:r>
                      <w:fldChar w:fldCharType="separate"/>
                    </w:r>
                    <w:r>
                      <w:t>91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1656">
    <w:pPr>
      <w:pStyle w:val="10"/>
      <w:pBdr>
        <w:bottom w:val="none" w:color="auto" w:sz="0" w:space="0"/>
      </w:pBdr>
    </w:pPr>
  </w:p>
  <w:p w14:paraId="44BD97FF">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FD20D0"/>
    <w:multiLevelType w:val="singleLevel"/>
    <w:tmpl w:val="8DFD20D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Y2FlYjI1ZmQyNzVhMGIwYWRiZDA3ODFhZTI3NzU4OTUifQ=="/>
  </w:docVars>
  <w:rsids>
    <w:rsidRoot w:val="00000000"/>
    <w:rsid w:val="00AF024B"/>
    <w:rsid w:val="00C942CC"/>
    <w:rsid w:val="026D2B65"/>
    <w:rsid w:val="03D66AC6"/>
    <w:rsid w:val="043F0511"/>
    <w:rsid w:val="04C57BC8"/>
    <w:rsid w:val="04C82992"/>
    <w:rsid w:val="050B287F"/>
    <w:rsid w:val="058A7C48"/>
    <w:rsid w:val="06744454"/>
    <w:rsid w:val="0677683B"/>
    <w:rsid w:val="073645A7"/>
    <w:rsid w:val="0AB07B68"/>
    <w:rsid w:val="0B61769D"/>
    <w:rsid w:val="0B64718D"/>
    <w:rsid w:val="0BD91F9B"/>
    <w:rsid w:val="0BE04A65"/>
    <w:rsid w:val="0E0D528E"/>
    <w:rsid w:val="0E1F1149"/>
    <w:rsid w:val="0E215B2E"/>
    <w:rsid w:val="0E4B5C5D"/>
    <w:rsid w:val="0E6D22A4"/>
    <w:rsid w:val="0F5512C6"/>
    <w:rsid w:val="0F7505B2"/>
    <w:rsid w:val="105162A5"/>
    <w:rsid w:val="106F63B8"/>
    <w:rsid w:val="10A65B52"/>
    <w:rsid w:val="10AD79B9"/>
    <w:rsid w:val="1196318B"/>
    <w:rsid w:val="121E62E8"/>
    <w:rsid w:val="124D097B"/>
    <w:rsid w:val="140F3929"/>
    <w:rsid w:val="14671565"/>
    <w:rsid w:val="14FF0009"/>
    <w:rsid w:val="15AE7430"/>
    <w:rsid w:val="15BF1718"/>
    <w:rsid w:val="17C23271"/>
    <w:rsid w:val="17D41204"/>
    <w:rsid w:val="185C57FE"/>
    <w:rsid w:val="18694035"/>
    <w:rsid w:val="187A1D9E"/>
    <w:rsid w:val="18C15C1F"/>
    <w:rsid w:val="19342F3E"/>
    <w:rsid w:val="19534A8A"/>
    <w:rsid w:val="1964413C"/>
    <w:rsid w:val="1A142575"/>
    <w:rsid w:val="1B410951"/>
    <w:rsid w:val="1B4944AD"/>
    <w:rsid w:val="1B8B2BAD"/>
    <w:rsid w:val="1BC70EDB"/>
    <w:rsid w:val="1C8132F9"/>
    <w:rsid w:val="1CDE54B6"/>
    <w:rsid w:val="1D575CB8"/>
    <w:rsid w:val="1DC81D89"/>
    <w:rsid w:val="1E1E4F79"/>
    <w:rsid w:val="1E85084A"/>
    <w:rsid w:val="1F853419"/>
    <w:rsid w:val="1F907DB7"/>
    <w:rsid w:val="200B22D0"/>
    <w:rsid w:val="20531852"/>
    <w:rsid w:val="21E735F7"/>
    <w:rsid w:val="22053E70"/>
    <w:rsid w:val="22324FA1"/>
    <w:rsid w:val="229323AD"/>
    <w:rsid w:val="23243032"/>
    <w:rsid w:val="23895C78"/>
    <w:rsid w:val="23F0560A"/>
    <w:rsid w:val="276E51C4"/>
    <w:rsid w:val="28184BB8"/>
    <w:rsid w:val="28C16C02"/>
    <w:rsid w:val="28E53263"/>
    <w:rsid w:val="2927387C"/>
    <w:rsid w:val="29392B1D"/>
    <w:rsid w:val="29EE6148"/>
    <w:rsid w:val="2A3156BF"/>
    <w:rsid w:val="2A701253"/>
    <w:rsid w:val="2A7B715C"/>
    <w:rsid w:val="2AAF1183"/>
    <w:rsid w:val="2C1D2D14"/>
    <w:rsid w:val="2C351E0C"/>
    <w:rsid w:val="2C4B2775"/>
    <w:rsid w:val="2C6D49AA"/>
    <w:rsid w:val="2CDF692C"/>
    <w:rsid w:val="2D480265"/>
    <w:rsid w:val="2D621327"/>
    <w:rsid w:val="2E2855AA"/>
    <w:rsid w:val="2EDD157D"/>
    <w:rsid w:val="2F1F1AC1"/>
    <w:rsid w:val="2FBC4D08"/>
    <w:rsid w:val="30073135"/>
    <w:rsid w:val="300761B5"/>
    <w:rsid w:val="30136908"/>
    <w:rsid w:val="30675C43"/>
    <w:rsid w:val="30E57AFE"/>
    <w:rsid w:val="317A5A8A"/>
    <w:rsid w:val="34AD7EA2"/>
    <w:rsid w:val="35770328"/>
    <w:rsid w:val="35B86362"/>
    <w:rsid w:val="364B58BB"/>
    <w:rsid w:val="36C46BAE"/>
    <w:rsid w:val="37BC2B5E"/>
    <w:rsid w:val="37DC1CD5"/>
    <w:rsid w:val="38E80F4B"/>
    <w:rsid w:val="392F77E5"/>
    <w:rsid w:val="395C1711"/>
    <w:rsid w:val="396106E4"/>
    <w:rsid w:val="39F93311"/>
    <w:rsid w:val="3AA7104F"/>
    <w:rsid w:val="3AEE244B"/>
    <w:rsid w:val="3BCB453B"/>
    <w:rsid w:val="3C2F4917"/>
    <w:rsid w:val="3C4542ED"/>
    <w:rsid w:val="3E0C2BE9"/>
    <w:rsid w:val="3ECA4523"/>
    <w:rsid w:val="40161AFD"/>
    <w:rsid w:val="401E382C"/>
    <w:rsid w:val="415A2DC7"/>
    <w:rsid w:val="418B4741"/>
    <w:rsid w:val="41DE43BD"/>
    <w:rsid w:val="42DE0FF8"/>
    <w:rsid w:val="4326646F"/>
    <w:rsid w:val="45D466E2"/>
    <w:rsid w:val="463B0054"/>
    <w:rsid w:val="46CF4580"/>
    <w:rsid w:val="46F012F9"/>
    <w:rsid w:val="47025C3D"/>
    <w:rsid w:val="48020CF2"/>
    <w:rsid w:val="48EA557D"/>
    <w:rsid w:val="4930547A"/>
    <w:rsid w:val="49322DA6"/>
    <w:rsid w:val="4968796B"/>
    <w:rsid w:val="4A08695A"/>
    <w:rsid w:val="4A5D4446"/>
    <w:rsid w:val="4B274F85"/>
    <w:rsid w:val="4CAE1754"/>
    <w:rsid w:val="4CEE40BA"/>
    <w:rsid w:val="4DA644C0"/>
    <w:rsid w:val="4E4F2DA9"/>
    <w:rsid w:val="4EEE25C2"/>
    <w:rsid w:val="4F5D0647"/>
    <w:rsid w:val="4FB940D4"/>
    <w:rsid w:val="4FF31008"/>
    <w:rsid w:val="523B6EAF"/>
    <w:rsid w:val="528D3EA0"/>
    <w:rsid w:val="541B578B"/>
    <w:rsid w:val="5434365D"/>
    <w:rsid w:val="55E02539"/>
    <w:rsid w:val="569A43E7"/>
    <w:rsid w:val="56A30136"/>
    <w:rsid w:val="58366084"/>
    <w:rsid w:val="59411541"/>
    <w:rsid w:val="5A660A42"/>
    <w:rsid w:val="5A7A318B"/>
    <w:rsid w:val="5AE26AF7"/>
    <w:rsid w:val="5B944721"/>
    <w:rsid w:val="5BF90241"/>
    <w:rsid w:val="5C515574"/>
    <w:rsid w:val="5D1302A0"/>
    <w:rsid w:val="5D4533D5"/>
    <w:rsid w:val="5DF72B16"/>
    <w:rsid w:val="5F2416E8"/>
    <w:rsid w:val="5F735C76"/>
    <w:rsid w:val="5FC1162D"/>
    <w:rsid w:val="5FE46263"/>
    <w:rsid w:val="605602F3"/>
    <w:rsid w:val="60AF6F1D"/>
    <w:rsid w:val="612861BC"/>
    <w:rsid w:val="61336639"/>
    <w:rsid w:val="61920923"/>
    <w:rsid w:val="619743F4"/>
    <w:rsid w:val="6299419B"/>
    <w:rsid w:val="62D96273"/>
    <w:rsid w:val="63D511F7"/>
    <w:rsid w:val="63F024E1"/>
    <w:rsid w:val="63F47CE3"/>
    <w:rsid w:val="64025853"/>
    <w:rsid w:val="641F52B0"/>
    <w:rsid w:val="6449399F"/>
    <w:rsid w:val="65BE774A"/>
    <w:rsid w:val="65DD6A95"/>
    <w:rsid w:val="670034AB"/>
    <w:rsid w:val="674A015A"/>
    <w:rsid w:val="67CE0D8B"/>
    <w:rsid w:val="689871CF"/>
    <w:rsid w:val="68B7537B"/>
    <w:rsid w:val="68C301C4"/>
    <w:rsid w:val="68ED6FEF"/>
    <w:rsid w:val="6AB204F0"/>
    <w:rsid w:val="6B0F76F1"/>
    <w:rsid w:val="6D384BB4"/>
    <w:rsid w:val="6D853DB6"/>
    <w:rsid w:val="6DA93B4C"/>
    <w:rsid w:val="6E1B0FA5"/>
    <w:rsid w:val="6E84188A"/>
    <w:rsid w:val="6E9332D6"/>
    <w:rsid w:val="6EC207A9"/>
    <w:rsid w:val="6F113238"/>
    <w:rsid w:val="7042797E"/>
    <w:rsid w:val="708C5B7E"/>
    <w:rsid w:val="7199377E"/>
    <w:rsid w:val="71EF133E"/>
    <w:rsid w:val="72757BBD"/>
    <w:rsid w:val="72BD1DD4"/>
    <w:rsid w:val="72F21DD2"/>
    <w:rsid w:val="73634A7D"/>
    <w:rsid w:val="74295C4F"/>
    <w:rsid w:val="743D707D"/>
    <w:rsid w:val="74471CA9"/>
    <w:rsid w:val="75BF3AC1"/>
    <w:rsid w:val="78B30ED0"/>
    <w:rsid w:val="79B102D4"/>
    <w:rsid w:val="79F75F20"/>
    <w:rsid w:val="79FE33F6"/>
    <w:rsid w:val="7AD718AD"/>
    <w:rsid w:val="7AF97A75"/>
    <w:rsid w:val="7B1324B2"/>
    <w:rsid w:val="7B721C41"/>
    <w:rsid w:val="7C27396F"/>
    <w:rsid w:val="7C6D0303"/>
    <w:rsid w:val="7D897AFF"/>
    <w:rsid w:val="7E464D80"/>
    <w:rsid w:val="7F565496"/>
    <w:rsid w:val="7F6D103A"/>
    <w:rsid w:val="7FEB26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widowControl/>
      <w:ind w:firstLine="420"/>
      <w:jc w:val="left"/>
    </w:pPr>
    <w:rPr>
      <w:kern w:val="0"/>
      <w:sz w:val="20"/>
      <w:szCs w:val="20"/>
    </w:rPr>
  </w:style>
  <w:style w:type="paragraph" w:styleId="4">
    <w:name w:val="annotation text"/>
    <w:basedOn w:val="1"/>
    <w:qFormat/>
    <w:uiPriority w:val="0"/>
    <w:pPr>
      <w:jc w:val="left"/>
    </w:pPr>
  </w:style>
  <w:style w:type="paragraph" w:styleId="5">
    <w:name w:val="Body Text"/>
    <w:basedOn w:val="1"/>
    <w:next w:val="1"/>
    <w:semiHidden/>
    <w:qFormat/>
    <w:uiPriority w:val="0"/>
    <w:rPr>
      <w:rFonts w:ascii="仿宋" w:hAnsi="仿宋" w:eastAsia="仿宋" w:cs="仿宋"/>
      <w:sz w:val="29"/>
      <w:szCs w:val="29"/>
      <w:lang w:val="en-US" w:eastAsia="en-US" w:bidi="ar-SA"/>
    </w:rPr>
  </w:style>
  <w:style w:type="paragraph" w:styleId="6">
    <w:name w:val="Body Text Indent"/>
    <w:basedOn w:val="1"/>
    <w:next w:val="7"/>
    <w:qFormat/>
    <w:uiPriority w:val="0"/>
    <w:pPr>
      <w:spacing w:after="120"/>
      <w:ind w:left="420" w:leftChars="200"/>
    </w:pPr>
  </w:style>
  <w:style w:type="paragraph" w:styleId="7">
    <w:name w:val="envelope return"/>
    <w:basedOn w:val="1"/>
    <w:qFormat/>
    <w:uiPriority w:val="0"/>
    <w:pPr>
      <w:snapToGrid w:val="0"/>
    </w:pPr>
    <w:rPr>
      <w:rFonts w:ascii="Arial" w:hAnsi="Arial" w:cs="Arial"/>
    </w:rPr>
  </w:style>
  <w:style w:type="paragraph" w:styleId="8">
    <w:name w:val="Plain Text"/>
    <w:basedOn w:val="1"/>
    <w:unhideWhenUsed/>
    <w:qFormat/>
    <w:uiPriority w:val="99"/>
    <w:rPr>
      <w:rFonts w:hAnsi="Courier New" w:cs="Courier New" w:asciiTheme="minorEastAsia"/>
    </w:rPr>
  </w:style>
  <w:style w:type="paragraph" w:styleId="9">
    <w:name w:val="Body Text Indent 2"/>
    <w:basedOn w:val="1"/>
    <w:next w:val="10"/>
    <w:qFormat/>
    <w:uiPriority w:val="0"/>
    <w:pPr>
      <w:ind w:firstLine="640" w:firstLineChars="200"/>
    </w:pPr>
    <w:rPr>
      <w:color w:val="0000FF"/>
      <w:kern w:val="0"/>
      <w:sz w:val="32"/>
    </w:rPr>
  </w:style>
  <w:style w:type="paragraph" w:styleId="10">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6"/>
    <w:next w:val="3"/>
    <w:qFormat/>
    <w:uiPriority w:val="0"/>
    <w:pPr>
      <w:ind w:firstLine="420" w:firstLineChars="200"/>
    </w:pPr>
    <w:rPr>
      <w:rFonts w:ascii="宋体"/>
      <w:kern w:val="0"/>
      <w:sz w:val="20"/>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paragraph" w:customStyle="1" w:styleId="20">
    <w:name w:val="列出段落1"/>
    <w:basedOn w:val="1"/>
    <w:qFormat/>
    <w:uiPriority w:val="0"/>
    <w:pPr>
      <w:ind w:firstLine="420" w:firstLineChars="200"/>
    </w:p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宋体" w:hAnsi="宋体" w:eastAsia="宋体" w:cs="宋体"/>
      <w:sz w:val="29"/>
      <w:szCs w:val="29"/>
      <w:lang w:val="en-US" w:eastAsia="en-US" w:bidi="ar-SA"/>
    </w:rPr>
  </w:style>
  <w:style w:type="paragraph" w:customStyle="1" w:styleId="23">
    <w:name w:val="Default"/>
    <w:qFormat/>
    <w:uiPriority w:val="0"/>
    <w:pPr>
      <w:widowControl w:val="0"/>
      <w:autoSpaceDE w:val="0"/>
      <w:autoSpaceDN w:val="0"/>
      <w:adjustRightInd w:val="0"/>
    </w:pPr>
    <w:rPr>
      <w:rFonts w:ascii="仿宋_GB2312" w:hAnsi="Times New Roman" w:eastAsia="仿宋_GB2312" w:cs="仿宋_GB2312"/>
      <w:color w:val="000000"/>
      <w:kern w:val="2"/>
      <w:sz w:val="24"/>
      <w:szCs w:val="24"/>
      <w:lang w:val="en-US" w:eastAsia="zh-CN" w:bidi="ar-SA"/>
    </w:rPr>
  </w:style>
  <w:style w:type="paragraph" w:customStyle="1" w:styleId="24">
    <w:name w:val="样式1"/>
    <w:basedOn w:val="5"/>
    <w:qFormat/>
    <w:uiPriority w:val="0"/>
    <w:pPr>
      <w:spacing w:afterLines="0" w:line="560" w:lineRule="exact"/>
      <w:ind w:firstLine="640" w:firstLineChars="200"/>
    </w:pPr>
    <w:rPr>
      <w:rFonts w:hint="eastAsia" w:ascii="仿宋_GB2312" w:hAnsi="仿宋_GB2312" w:eastAsia="仿宋_GB2312" w:cs="仿宋_GB2312"/>
      <w:sz w:val="32"/>
      <w:szCs w:val="32"/>
    </w:rPr>
  </w:style>
  <w:style w:type="character" w:customStyle="1" w:styleId="25">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8378</Words>
  <Characters>8807</Characters>
  <TotalTime>17</TotalTime>
  <ScaleCrop>false</ScaleCrop>
  <LinksUpToDate>false</LinksUpToDate>
  <CharactersWithSpaces>9551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2025-05-30T08:01:00Z</dcterms:created>
  <dc:creator>zw'x</dc:creator>
  <cp:lastModifiedBy>周长国</cp:lastModifiedBy>
  <cp:lastPrinted>2026-08-27T02:13:15Z</cp:lastPrinted>
  <dcterms:modified xsi:type="dcterms:W3CDTF">2026-08-27T02:28:54Z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2025-05-30T08:01:56Z</vt:filetime>
  </property>
  <property fmtid="{D5CDD505-2E9C-101B-9397-08002B2CF9AE}" pid="4" name="UsrData">
    <vt:lpwstr>6838f56feeb4a4001f0bec13wl</vt:lpwstr>
  </property>
  <property fmtid="{D5CDD505-2E9C-101B-9397-08002B2CF9AE}" pid="5" name="KSOTemplateDocerSaveRecord">
    <vt:lpwstr>eyJoZGlkIjoiMDU5YThkOTIwNTUzNjBjN2QwOGYxMTI2ZDI1NGMzYzIiLCJ1c2VySWQiOiI1NTg1NTQxNjYifQ==</vt:lpwstr>
  </property>
  <property fmtid="{D5CDD505-2E9C-101B-9397-08002B2CF9AE}" pid="6" name="KSOProductBuildVer">
    <vt:lpwstr>2052-12.1.0.28043</vt:lpwstr>
  </property>
  <property fmtid="{D5CDD505-2E9C-101B-9397-08002B2CF9AE}" pid="7" name="ICV">
    <vt:lpwstr>BBC746D4D94548A281753838649A6AB1_13</vt:lpwstr>
  </property>
</Properties>
</file>